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460B1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小标宋简体" w:hAnsi="方正小标宋简体" w:eastAsia="方正小标宋简体" w:cs="方正小标宋简体"/>
          <w:i w:val="0"/>
          <w:iCs w:val="0"/>
          <w:caps w:val="0"/>
          <w:color w:val="000000"/>
          <w:spacing w:val="0"/>
          <w:sz w:val="44"/>
          <w:szCs w:val="44"/>
        </w:rPr>
      </w:pPr>
      <w:r>
        <w:rPr>
          <w:rFonts w:hint="eastAsia" w:ascii="方正小标宋简体" w:hAnsi="方正小标宋简体" w:eastAsia="方正小标宋简体" w:cs="方正小标宋简体"/>
          <w:i w:val="0"/>
          <w:iCs w:val="0"/>
          <w:caps w:val="0"/>
          <w:color w:val="000000"/>
          <w:spacing w:val="0"/>
          <w:sz w:val="44"/>
          <w:szCs w:val="44"/>
          <w:lang w:val="en-US" w:eastAsia="zh-CN"/>
        </w:rPr>
        <w:t>赣州蓉江新区人民医院药品追溯系统</w:t>
      </w:r>
      <w:r>
        <w:rPr>
          <w:rFonts w:hint="eastAsia" w:ascii="方正小标宋简体" w:hAnsi="方正小标宋简体" w:eastAsia="方正小标宋简体" w:cs="方正小标宋简体"/>
          <w:i w:val="0"/>
          <w:iCs w:val="0"/>
          <w:caps w:val="0"/>
          <w:color w:val="000000"/>
          <w:spacing w:val="0"/>
          <w:sz w:val="44"/>
          <w:szCs w:val="44"/>
        </w:rPr>
        <w:t>项目采购需求</w:t>
      </w:r>
    </w:p>
    <w:p w14:paraId="4712445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黑体" w:hAnsi="宋体" w:eastAsia="黑体" w:cs="黑体"/>
          <w:i w:val="0"/>
          <w:iCs w:val="0"/>
          <w:caps w:val="0"/>
          <w:color w:val="000000"/>
          <w:spacing w:val="0"/>
          <w:sz w:val="31"/>
          <w:szCs w:val="31"/>
        </w:rPr>
      </w:pPr>
    </w:p>
    <w:p w14:paraId="5BA99BC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16"/>
        <w:jc w:val="left"/>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i w:val="0"/>
          <w:iCs w:val="0"/>
          <w:caps w:val="0"/>
          <w:color w:val="000000"/>
          <w:spacing w:val="0"/>
          <w:sz w:val="32"/>
          <w:szCs w:val="32"/>
          <w:lang w:val="en-US" w:eastAsia="zh-CN"/>
        </w:rPr>
        <w:t>一、</w:t>
      </w:r>
      <w:r>
        <w:rPr>
          <w:rFonts w:hint="eastAsia" w:ascii="黑体" w:hAnsi="黑体" w:eastAsia="黑体" w:cs="黑体"/>
          <w:i w:val="0"/>
          <w:iCs w:val="0"/>
          <w:caps w:val="0"/>
          <w:color w:val="000000"/>
          <w:spacing w:val="0"/>
          <w:sz w:val="32"/>
          <w:szCs w:val="32"/>
        </w:rPr>
        <w:t>项目总体要求</w:t>
      </w:r>
    </w:p>
    <w:p w14:paraId="1C66420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16"/>
        <w:jc w:val="left"/>
        <w:textAlignment w:val="auto"/>
        <w:rPr>
          <w:rFonts w:hint="eastAsia" w:ascii="Noto Sans SC" w:hAnsi="Noto Sans SC" w:eastAsia="Noto Sans SC" w:cs="Noto Sans SC"/>
          <w:i w:val="0"/>
          <w:iCs w:val="0"/>
          <w:caps w:val="0"/>
          <w:color w:val="333333"/>
          <w:spacing w:val="0"/>
          <w:sz w:val="27"/>
          <w:szCs w:val="27"/>
        </w:rPr>
      </w:pPr>
      <w:r>
        <w:rPr>
          <w:rFonts w:hint="eastAsia" w:ascii="仿宋" w:hAnsi="仿宋" w:eastAsia="仿宋" w:cs="仿宋"/>
          <w:i w:val="0"/>
          <w:iCs w:val="0"/>
          <w:caps w:val="0"/>
          <w:color w:val="000000"/>
          <w:spacing w:val="0"/>
          <w:sz w:val="31"/>
          <w:szCs w:val="31"/>
        </w:rPr>
        <w:t>从医院收货入库、出库、药房入库、药房出库的全链路溯源扫码闭环管理，并和省医保和药监溯源平台对接，将溯源数据上传到省医保和省药监平台，提升院内整体药品质量管控水平和药品管理的工作效率，</w:t>
      </w:r>
      <w:r>
        <w:rPr>
          <w:rFonts w:hint="eastAsia" w:ascii="仿宋" w:hAnsi="仿宋" w:eastAsia="仿宋" w:cs="仿宋"/>
          <w:i w:val="0"/>
          <w:iCs w:val="0"/>
          <w:caps w:val="0"/>
          <w:color w:val="000000"/>
          <w:spacing w:val="0"/>
          <w:sz w:val="31"/>
          <w:szCs w:val="31"/>
          <w:lang w:val="en-US" w:eastAsia="zh-CN"/>
        </w:rPr>
        <w:t>并符合</w:t>
      </w:r>
      <w:r>
        <w:rPr>
          <w:rFonts w:hint="eastAsia" w:ascii="仿宋" w:hAnsi="仿宋" w:eastAsia="仿宋" w:cs="仿宋"/>
          <w:i w:val="0"/>
          <w:iCs w:val="0"/>
          <w:caps w:val="0"/>
          <w:color w:val="000000"/>
          <w:spacing w:val="0"/>
          <w:sz w:val="31"/>
          <w:szCs w:val="31"/>
        </w:rPr>
        <w:t>省医保和省药监平台</w:t>
      </w:r>
      <w:r>
        <w:rPr>
          <w:rFonts w:hint="eastAsia" w:ascii="仿宋" w:hAnsi="仿宋" w:eastAsia="仿宋" w:cs="仿宋"/>
          <w:i w:val="0"/>
          <w:iCs w:val="0"/>
          <w:caps w:val="0"/>
          <w:color w:val="000000"/>
          <w:spacing w:val="0"/>
          <w:sz w:val="31"/>
          <w:szCs w:val="31"/>
          <w:lang w:val="en-US" w:eastAsia="zh-CN"/>
        </w:rPr>
        <w:t>的数据要求。</w:t>
      </w:r>
      <w:r>
        <w:rPr>
          <w:rFonts w:hint="eastAsia" w:ascii="仿宋" w:hAnsi="仿宋" w:eastAsia="仿宋" w:cs="仿宋"/>
          <w:i w:val="0"/>
          <w:iCs w:val="0"/>
          <w:caps w:val="0"/>
          <w:color w:val="000000"/>
          <w:spacing w:val="0"/>
          <w:sz w:val="31"/>
          <w:szCs w:val="31"/>
        </w:rPr>
        <w:t>扫码入库支持所有</w:t>
      </w:r>
      <w:bookmarkStart w:id="0" w:name="_GoBack"/>
      <w:bookmarkEnd w:id="0"/>
      <w:r>
        <w:rPr>
          <w:rFonts w:hint="eastAsia" w:ascii="仿宋" w:hAnsi="仿宋" w:eastAsia="仿宋" w:cs="仿宋"/>
          <w:i w:val="0"/>
          <w:iCs w:val="0"/>
          <w:caps w:val="0"/>
          <w:color w:val="000000"/>
          <w:spacing w:val="0"/>
          <w:sz w:val="31"/>
          <w:szCs w:val="31"/>
        </w:rPr>
        <w:t>的厂家，功能需求支持本地化改造，扫码发药退药功能需嵌入HIS发药界面，简化发药流程。</w:t>
      </w:r>
    </w:p>
    <w:p w14:paraId="42FA479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16"/>
        <w:jc w:val="left"/>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lang w:val="en-US" w:eastAsia="zh-CN"/>
        </w:rPr>
        <w:t>二、</w:t>
      </w:r>
      <w:r>
        <w:rPr>
          <w:rFonts w:hint="eastAsia" w:ascii="黑体" w:hAnsi="黑体" w:eastAsia="黑体" w:cs="黑体"/>
          <w:i w:val="0"/>
          <w:iCs w:val="0"/>
          <w:caps w:val="0"/>
          <w:color w:val="000000"/>
          <w:spacing w:val="0"/>
          <w:sz w:val="32"/>
          <w:szCs w:val="32"/>
        </w:rPr>
        <w:t>溯源系统功能要求</w:t>
      </w:r>
    </w:p>
    <w:p w14:paraId="694CA95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16"/>
        <w:jc w:val="left"/>
        <w:textAlignment w:val="auto"/>
        <w:rPr>
          <w:rFonts w:hint="eastAsia" w:ascii="Noto Sans SC" w:hAnsi="Noto Sans SC" w:eastAsia="Noto Sans SC" w:cs="Noto Sans SC"/>
          <w:i w:val="0"/>
          <w:iCs w:val="0"/>
          <w:caps w:val="0"/>
          <w:color w:val="333333"/>
          <w:spacing w:val="0"/>
          <w:sz w:val="27"/>
          <w:szCs w:val="27"/>
        </w:rPr>
      </w:pPr>
      <w:r>
        <w:rPr>
          <w:rStyle w:val="6"/>
          <w:rFonts w:hint="eastAsia" w:ascii="仿宋" w:hAnsi="仿宋" w:eastAsia="仿宋" w:cs="仿宋"/>
          <w:i w:val="0"/>
          <w:iCs w:val="0"/>
          <w:caps w:val="0"/>
          <w:color w:val="000000"/>
          <w:spacing w:val="0"/>
          <w:sz w:val="31"/>
          <w:szCs w:val="31"/>
          <w:lang w:val="en-US" w:eastAsia="zh-CN"/>
        </w:rPr>
        <w:t>1.</w:t>
      </w:r>
      <w:r>
        <w:rPr>
          <w:rStyle w:val="6"/>
          <w:rFonts w:hint="eastAsia" w:ascii="仿宋" w:hAnsi="仿宋" w:eastAsia="仿宋" w:cs="仿宋"/>
          <w:i w:val="0"/>
          <w:iCs w:val="0"/>
          <w:caps w:val="0"/>
          <w:color w:val="000000"/>
          <w:spacing w:val="0"/>
          <w:sz w:val="31"/>
          <w:szCs w:val="31"/>
        </w:rPr>
        <w:t>供应商配送管理</w:t>
      </w:r>
    </w:p>
    <w:p w14:paraId="6152A64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16"/>
        <w:jc w:val="left"/>
        <w:textAlignment w:val="auto"/>
        <w:rPr>
          <w:rFonts w:hint="eastAsia" w:ascii="Noto Sans SC" w:hAnsi="Noto Sans SC" w:eastAsia="Noto Sans SC" w:cs="Noto Sans SC"/>
          <w:i w:val="0"/>
          <w:iCs w:val="0"/>
          <w:caps w:val="0"/>
          <w:color w:val="333333"/>
          <w:spacing w:val="0"/>
          <w:sz w:val="27"/>
          <w:szCs w:val="27"/>
        </w:rPr>
      </w:pPr>
      <w:r>
        <w:rPr>
          <w:rFonts w:hint="eastAsia" w:ascii="仿宋" w:hAnsi="仿宋" w:eastAsia="仿宋" w:cs="仿宋"/>
          <w:i w:val="0"/>
          <w:iCs w:val="0"/>
          <w:caps w:val="0"/>
          <w:color w:val="000000"/>
          <w:spacing w:val="0"/>
          <w:sz w:val="31"/>
          <w:szCs w:val="31"/>
        </w:rPr>
        <w:t>供应商根据医院采购计划配送出库，并将企业首营电子资料、药品两票制电子凭证、销售出库单电子数据、码上放心平台企业出库溯源数据上传到电子票据平台；同时电子票据平台从国家税务局接口医院进项发票电子数据，自动核查配送企业资料信息是否符合GSP规范要求，对过期首营资料进行拦截预警、通知。</w:t>
      </w:r>
    </w:p>
    <w:p w14:paraId="5A2CB92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16"/>
        <w:jc w:val="left"/>
        <w:textAlignment w:val="auto"/>
        <w:rPr>
          <w:rFonts w:hint="eastAsia" w:ascii="Noto Sans SC" w:hAnsi="Noto Sans SC" w:eastAsia="Noto Sans SC" w:cs="Noto Sans SC"/>
          <w:i w:val="0"/>
          <w:iCs w:val="0"/>
          <w:caps w:val="0"/>
          <w:color w:val="333333"/>
          <w:spacing w:val="0"/>
          <w:sz w:val="27"/>
          <w:szCs w:val="27"/>
        </w:rPr>
      </w:pPr>
      <w:r>
        <w:rPr>
          <w:rStyle w:val="6"/>
          <w:rFonts w:hint="eastAsia" w:ascii="仿宋" w:hAnsi="仿宋" w:eastAsia="仿宋" w:cs="仿宋"/>
          <w:i w:val="0"/>
          <w:iCs w:val="0"/>
          <w:caps w:val="0"/>
          <w:color w:val="000000"/>
          <w:spacing w:val="0"/>
          <w:sz w:val="31"/>
          <w:szCs w:val="31"/>
          <w:lang w:val="en-US" w:eastAsia="zh-CN"/>
        </w:rPr>
        <w:t>2.</w:t>
      </w:r>
      <w:r>
        <w:rPr>
          <w:rStyle w:val="6"/>
          <w:rFonts w:hint="eastAsia" w:ascii="仿宋" w:hAnsi="仿宋" w:eastAsia="仿宋" w:cs="仿宋"/>
          <w:i w:val="0"/>
          <w:iCs w:val="0"/>
          <w:caps w:val="0"/>
          <w:color w:val="000000"/>
          <w:spacing w:val="0"/>
          <w:sz w:val="31"/>
          <w:szCs w:val="31"/>
        </w:rPr>
        <w:t>医院电子票据平台</w:t>
      </w:r>
    </w:p>
    <w:p w14:paraId="660CAE8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16"/>
        <w:jc w:val="left"/>
        <w:textAlignment w:val="auto"/>
        <w:rPr>
          <w:rFonts w:hint="eastAsia" w:ascii="Noto Sans SC" w:hAnsi="Noto Sans SC" w:eastAsia="Noto Sans SC" w:cs="Noto Sans SC"/>
          <w:i w:val="0"/>
          <w:iCs w:val="0"/>
          <w:caps w:val="0"/>
          <w:color w:val="333333"/>
          <w:spacing w:val="0"/>
          <w:sz w:val="27"/>
          <w:szCs w:val="27"/>
        </w:rPr>
      </w:pPr>
      <w:r>
        <w:rPr>
          <w:rFonts w:hint="eastAsia" w:ascii="仿宋" w:hAnsi="仿宋" w:eastAsia="仿宋" w:cs="仿宋"/>
          <w:i w:val="0"/>
          <w:iCs w:val="0"/>
          <w:caps w:val="0"/>
          <w:color w:val="000000"/>
          <w:spacing w:val="0"/>
          <w:sz w:val="31"/>
          <w:szCs w:val="31"/>
        </w:rPr>
        <w:t>医院前置机电脑从电子票据平台获取供应商的首营电子资料、药品两票制电子凭证、销售出库电子单、医院进项发票电子数据以及配企的出库溯源码下载到医院内网进行管理；</w:t>
      </w:r>
    </w:p>
    <w:p w14:paraId="6D278A9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16"/>
        <w:jc w:val="left"/>
        <w:textAlignment w:val="auto"/>
        <w:rPr>
          <w:rFonts w:hint="eastAsia" w:ascii="Noto Sans SC" w:hAnsi="Noto Sans SC" w:eastAsia="Noto Sans SC" w:cs="Noto Sans SC"/>
          <w:i w:val="0"/>
          <w:iCs w:val="0"/>
          <w:caps w:val="0"/>
          <w:color w:val="333333"/>
          <w:spacing w:val="0"/>
          <w:sz w:val="27"/>
          <w:szCs w:val="27"/>
        </w:rPr>
      </w:pPr>
      <w:r>
        <w:rPr>
          <w:rStyle w:val="6"/>
          <w:rFonts w:hint="eastAsia" w:ascii="仿宋" w:hAnsi="仿宋" w:eastAsia="仿宋" w:cs="仿宋"/>
          <w:i w:val="0"/>
          <w:iCs w:val="0"/>
          <w:caps w:val="0"/>
          <w:color w:val="000000"/>
          <w:spacing w:val="0"/>
          <w:sz w:val="31"/>
          <w:szCs w:val="31"/>
          <w:lang w:val="en-US" w:eastAsia="zh-CN"/>
        </w:rPr>
        <w:t>3.</w:t>
      </w:r>
      <w:r>
        <w:rPr>
          <w:rStyle w:val="6"/>
          <w:rFonts w:hint="eastAsia" w:ascii="仿宋" w:hAnsi="仿宋" w:eastAsia="仿宋" w:cs="仿宋"/>
          <w:i w:val="0"/>
          <w:iCs w:val="0"/>
          <w:caps w:val="0"/>
          <w:color w:val="000000"/>
          <w:spacing w:val="0"/>
          <w:sz w:val="31"/>
          <w:szCs w:val="31"/>
        </w:rPr>
        <w:t>药库扫码自动入库和发票自动验真伪、去重防作废</w:t>
      </w:r>
    </w:p>
    <w:p w14:paraId="5EFA114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16"/>
        <w:jc w:val="left"/>
        <w:textAlignment w:val="auto"/>
        <w:rPr>
          <w:rFonts w:hint="eastAsia" w:ascii="Noto Sans SC" w:hAnsi="Noto Sans SC" w:eastAsia="Noto Sans SC" w:cs="Noto Sans SC"/>
          <w:i w:val="0"/>
          <w:iCs w:val="0"/>
          <w:caps w:val="0"/>
          <w:color w:val="333333"/>
          <w:spacing w:val="0"/>
          <w:sz w:val="27"/>
          <w:szCs w:val="27"/>
        </w:rPr>
      </w:pPr>
      <w:r>
        <w:rPr>
          <w:rFonts w:hint="eastAsia" w:ascii="仿宋" w:hAnsi="仿宋" w:eastAsia="仿宋" w:cs="仿宋"/>
          <w:i w:val="0"/>
          <w:iCs w:val="0"/>
          <w:caps w:val="0"/>
          <w:color w:val="000000"/>
          <w:spacing w:val="0"/>
          <w:sz w:val="31"/>
          <w:szCs w:val="31"/>
        </w:rPr>
        <w:t>配企将药品和纸质随货同行单（纸质发票和纸质出库单）一起送到药库——收货员用PDA扫批量扫溯源码，自动累计扫码数量和实际到货箱盒进行核对，直到所有药品收货PDA扫码核对数量完成，下步到电脑进行辅助入库系统，显示刚才的扫码记录关联出配送企业的出库单和发票数据，扫描发票二维码可以显示出库单信息核对单价、数量、金额、公司、发票查验真伪和去重放作废），核对无误后，有差异，提示有差异，根据差异进行人工修改，如果无差异，将核验记录自动转成HIS入库单入库；</w:t>
      </w:r>
    </w:p>
    <w:p w14:paraId="1DC0072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16"/>
        <w:jc w:val="left"/>
        <w:textAlignment w:val="auto"/>
        <w:rPr>
          <w:rFonts w:hint="eastAsia" w:ascii="Noto Sans SC" w:hAnsi="Noto Sans SC" w:eastAsia="Noto Sans SC" w:cs="Noto Sans SC"/>
          <w:i w:val="0"/>
          <w:iCs w:val="0"/>
          <w:caps w:val="0"/>
          <w:color w:val="333333"/>
          <w:spacing w:val="0"/>
          <w:sz w:val="27"/>
          <w:szCs w:val="27"/>
        </w:rPr>
      </w:pPr>
      <w:r>
        <w:rPr>
          <w:rStyle w:val="6"/>
          <w:rFonts w:hint="eastAsia" w:ascii="仿宋" w:hAnsi="仿宋" w:eastAsia="仿宋" w:cs="仿宋"/>
          <w:i w:val="0"/>
          <w:iCs w:val="0"/>
          <w:caps w:val="0"/>
          <w:color w:val="000000"/>
          <w:spacing w:val="0"/>
          <w:sz w:val="31"/>
          <w:szCs w:val="31"/>
          <w:lang w:val="en-US" w:eastAsia="zh-CN"/>
        </w:rPr>
        <w:t>4.</w:t>
      </w:r>
      <w:r>
        <w:rPr>
          <w:rStyle w:val="6"/>
          <w:rFonts w:hint="eastAsia" w:ascii="仿宋" w:hAnsi="仿宋" w:eastAsia="仿宋" w:cs="仿宋"/>
          <w:i w:val="0"/>
          <w:iCs w:val="0"/>
          <w:caps w:val="0"/>
          <w:color w:val="000000"/>
          <w:spacing w:val="0"/>
          <w:sz w:val="31"/>
          <w:szCs w:val="31"/>
        </w:rPr>
        <w:t>获取箱内子码</w:t>
      </w:r>
    </w:p>
    <w:p w14:paraId="5D9C1E2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16"/>
        <w:jc w:val="left"/>
        <w:textAlignment w:val="auto"/>
        <w:rPr>
          <w:rFonts w:hint="eastAsia" w:ascii="Noto Sans SC" w:hAnsi="Noto Sans SC" w:eastAsia="Noto Sans SC" w:cs="Noto Sans SC"/>
          <w:i w:val="0"/>
          <w:iCs w:val="0"/>
          <w:caps w:val="0"/>
          <w:color w:val="333333"/>
          <w:spacing w:val="0"/>
          <w:sz w:val="27"/>
          <w:szCs w:val="27"/>
        </w:rPr>
      </w:pPr>
      <w:r>
        <w:rPr>
          <w:rFonts w:hint="eastAsia" w:ascii="仿宋" w:hAnsi="仿宋" w:eastAsia="仿宋" w:cs="仿宋"/>
          <w:i w:val="0"/>
          <w:iCs w:val="0"/>
          <w:caps w:val="0"/>
          <w:color w:val="000000"/>
          <w:spacing w:val="0"/>
          <w:sz w:val="31"/>
          <w:szCs w:val="31"/>
        </w:rPr>
        <w:t>入库通常是扫箱码入库，但销售是按小包装销售，一箱含多少小包装盒码，系统获取到存储到院内，方便销售核对。</w:t>
      </w:r>
    </w:p>
    <w:p w14:paraId="5259A8A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16"/>
        <w:jc w:val="left"/>
        <w:textAlignment w:val="auto"/>
        <w:rPr>
          <w:rFonts w:hint="eastAsia" w:ascii="Noto Sans SC" w:hAnsi="Noto Sans SC" w:eastAsia="Noto Sans SC" w:cs="Noto Sans SC"/>
          <w:i w:val="0"/>
          <w:iCs w:val="0"/>
          <w:caps w:val="0"/>
          <w:color w:val="333333"/>
          <w:spacing w:val="0"/>
          <w:sz w:val="27"/>
          <w:szCs w:val="27"/>
        </w:rPr>
      </w:pPr>
      <w:r>
        <w:rPr>
          <w:rStyle w:val="6"/>
          <w:rFonts w:hint="eastAsia" w:ascii="仿宋" w:hAnsi="仿宋" w:eastAsia="仿宋" w:cs="仿宋"/>
          <w:i w:val="0"/>
          <w:iCs w:val="0"/>
          <w:caps w:val="0"/>
          <w:color w:val="000000"/>
          <w:spacing w:val="0"/>
          <w:sz w:val="31"/>
          <w:szCs w:val="31"/>
          <w:lang w:val="en-US" w:eastAsia="zh-CN"/>
        </w:rPr>
        <w:t>5.</w:t>
      </w:r>
      <w:r>
        <w:rPr>
          <w:rStyle w:val="6"/>
          <w:rFonts w:hint="eastAsia" w:ascii="仿宋" w:hAnsi="仿宋" w:eastAsia="仿宋" w:cs="仿宋"/>
          <w:i w:val="0"/>
          <w:iCs w:val="0"/>
          <w:caps w:val="0"/>
          <w:color w:val="000000"/>
          <w:spacing w:val="0"/>
          <w:sz w:val="31"/>
          <w:szCs w:val="31"/>
        </w:rPr>
        <w:t>药库退货</w:t>
      </w:r>
    </w:p>
    <w:p w14:paraId="4A45E61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16"/>
        <w:jc w:val="left"/>
        <w:textAlignment w:val="auto"/>
        <w:rPr>
          <w:rFonts w:hint="eastAsia" w:ascii="Noto Sans SC" w:hAnsi="Noto Sans SC" w:eastAsia="Noto Sans SC" w:cs="Noto Sans SC"/>
          <w:i w:val="0"/>
          <w:iCs w:val="0"/>
          <w:caps w:val="0"/>
          <w:color w:val="333333"/>
          <w:spacing w:val="0"/>
          <w:sz w:val="27"/>
          <w:szCs w:val="27"/>
        </w:rPr>
      </w:pPr>
      <w:r>
        <w:rPr>
          <w:rFonts w:hint="eastAsia" w:ascii="仿宋" w:hAnsi="仿宋" w:eastAsia="仿宋" w:cs="仿宋"/>
          <w:i w:val="0"/>
          <w:iCs w:val="0"/>
          <w:caps w:val="0"/>
          <w:color w:val="000000"/>
          <w:spacing w:val="0"/>
          <w:sz w:val="31"/>
          <w:szCs w:val="31"/>
        </w:rPr>
        <w:t>HIS系统药库退货单审核后，PDA屏幕，选择要退货的供应商，选择一张药库退货单；确定后进行扫码退货界面：边扫溯源码自动根据码包装数量同时复核退货数量，做到扫码数量核对不误。</w:t>
      </w:r>
    </w:p>
    <w:p w14:paraId="265DF0FD">
      <w:pPr>
        <w:pStyle w:val="3"/>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16"/>
        <w:jc w:val="left"/>
        <w:textAlignment w:val="auto"/>
        <w:rPr>
          <w:rFonts w:hint="eastAsia" w:ascii="Noto Sans SC" w:hAnsi="Noto Sans SC" w:eastAsia="Noto Sans SC" w:cs="Noto Sans SC"/>
          <w:i w:val="0"/>
          <w:iCs w:val="0"/>
          <w:caps w:val="0"/>
          <w:color w:val="333333"/>
          <w:spacing w:val="0"/>
          <w:sz w:val="27"/>
          <w:szCs w:val="27"/>
        </w:rPr>
      </w:pPr>
      <w:r>
        <w:rPr>
          <w:rStyle w:val="6"/>
          <w:rFonts w:hint="eastAsia" w:ascii="仿宋" w:hAnsi="仿宋" w:eastAsia="仿宋" w:cs="仿宋"/>
          <w:i w:val="0"/>
          <w:iCs w:val="0"/>
          <w:caps w:val="0"/>
          <w:color w:val="000000"/>
          <w:spacing w:val="0"/>
          <w:sz w:val="31"/>
          <w:szCs w:val="31"/>
        </w:rPr>
        <w:t>药品两票电子凭证自动核验</w:t>
      </w:r>
    </w:p>
    <w:p w14:paraId="5EEA75BA">
      <w:pPr>
        <w:pStyle w:val="3"/>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20" w:firstLineChars="200"/>
        <w:jc w:val="left"/>
        <w:textAlignment w:val="auto"/>
        <w:rPr>
          <w:rFonts w:hint="eastAsia" w:ascii="Noto Sans SC" w:hAnsi="Noto Sans SC" w:eastAsia="Noto Sans SC" w:cs="Noto Sans SC"/>
          <w:i w:val="0"/>
          <w:iCs w:val="0"/>
          <w:caps w:val="0"/>
          <w:color w:val="333333"/>
          <w:spacing w:val="0"/>
          <w:sz w:val="27"/>
          <w:szCs w:val="27"/>
        </w:rPr>
      </w:pPr>
      <w:r>
        <w:rPr>
          <w:rFonts w:hint="eastAsia" w:ascii="仿宋" w:hAnsi="仿宋" w:eastAsia="仿宋" w:cs="仿宋"/>
          <w:i w:val="0"/>
          <w:iCs w:val="0"/>
          <w:caps w:val="0"/>
          <w:color w:val="000000"/>
          <w:spacing w:val="0"/>
          <w:sz w:val="31"/>
          <w:szCs w:val="31"/>
        </w:rPr>
        <w:t>系统自动对配企的药品两票电子凭证是否完善进行自动核验，并对两票验票不通过的票据自动通知供应商在30个工作日补齐，入库人员只需每周定时对系统两票验票不通过，且30天还没补齐两票电子凭证的供应商进行通告催缴。</w:t>
      </w:r>
    </w:p>
    <w:p w14:paraId="4C2DE3E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16"/>
        <w:jc w:val="left"/>
        <w:textAlignment w:val="auto"/>
        <w:rPr>
          <w:rFonts w:hint="eastAsia" w:ascii="Noto Sans SC" w:hAnsi="Noto Sans SC" w:eastAsia="Noto Sans SC" w:cs="Noto Sans SC"/>
          <w:i w:val="0"/>
          <w:iCs w:val="0"/>
          <w:caps w:val="0"/>
          <w:color w:val="333333"/>
          <w:spacing w:val="0"/>
          <w:sz w:val="27"/>
          <w:szCs w:val="27"/>
        </w:rPr>
      </w:pPr>
      <w:r>
        <w:rPr>
          <w:rStyle w:val="6"/>
          <w:rFonts w:hint="eastAsia" w:ascii="仿宋" w:hAnsi="仿宋" w:eastAsia="仿宋" w:cs="仿宋"/>
          <w:i w:val="0"/>
          <w:iCs w:val="0"/>
          <w:caps w:val="0"/>
          <w:color w:val="000000"/>
          <w:spacing w:val="0"/>
          <w:sz w:val="31"/>
          <w:szCs w:val="31"/>
        </w:rPr>
        <w:t>7</w:t>
      </w:r>
      <w:r>
        <w:rPr>
          <w:rStyle w:val="6"/>
          <w:rFonts w:hint="eastAsia" w:ascii="仿宋" w:hAnsi="仿宋" w:eastAsia="仿宋" w:cs="仿宋"/>
          <w:i w:val="0"/>
          <w:iCs w:val="0"/>
          <w:caps w:val="0"/>
          <w:color w:val="000000"/>
          <w:spacing w:val="0"/>
          <w:sz w:val="31"/>
          <w:szCs w:val="31"/>
          <w:lang w:val="en-US" w:eastAsia="zh-CN"/>
        </w:rPr>
        <w:t>.</w:t>
      </w:r>
      <w:r>
        <w:rPr>
          <w:rStyle w:val="6"/>
          <w:rFonts w:hint="eastAsia" w:ascii="仿宋" w:hAnsi="仿宋" w:eastAsia="仿宋" w:cs="仿宋"/>
          <w:i w:val="0"/>
          <w:iCs w:val="0"/>
          <w:caps w:val="0"/>
          <w:color w:val="000000"/>
          <w:spacing w:val="0"/>
          <w:sz w:val="31"/>
          <w:szCs w:val="31"/>
        </w:rPr>
        <w:t>药房处方扫码复核</w:t>
      </w:r>
    </w:p>
    <w:p w14:paraId="0F5762C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16"/>
        <w:jc w:val="left"/>
        <w:textAlignment w:val="auto"/>
        <w:rPr>
          <w:rFonts w:hint="eastAsia" w:ascii="Noto Sans SC" w:hAnsi="Noto Sans SC" w:eastAsia="Noto Sans SC" w:cs="Noto Sans SC"/>
          <w:i w:val="0"/>
          <w:iCs w:val="0"/>
          <w:caps w:val="0"/>
          <w:color w:val="333333"/>
          <w:spacing w:val="0"/>
          <w:sz w:val="27"/>
          <w:szCs w:val="27"/>
        </w:rPr>
      </w:pPr>
      <w:r>
        <w:rPr>
          <w:rFonts w:hint="eastAsia" w:ascii="仿宋" w:hAnsi="仿宋" w:eastAsia="仿宋" w:cs="仿宋"/>
          <w:i w:val="0"/>
          <w:iCs w:val="0"/>
          <w:caps w:val="0"/>
          <w:color w:val="000000"/>
          <w:spacing w:val="0"/>
          <w:sz w:val="31"/>
          <w:szCs w:val="31"/>
        </w:rPr>
        <w:t>整盒扫码：在HIS系统发药界面，选择或扫处方或按患者卡号进入发药扫码复核界面，再拿起药品扫溯源码边扫码同时复核处方数量，非处方内药品和未对码药品提示，溯源码都扫码复核完成，将处方单和药品一起给给患者；</w:t>
      </w:r>
    </w:p>
    <w:p w14:paraId="0C4F2B2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16"/>
        <w:jc w:val="left"/>
        <w:textAlignment w:val="auto"/>
        <w:rPr>
          <w:rFonts w:hint="eastAsia" w:ascii="Noto Sans SC" w:hAnsi="Noto Sans SC" w:eastAsia="Noto Sans SC" w:cs="Noto Sans SC"/>
          <w:i w:val="0"/>
          <w:iCs w:val="0"/>
          <w:caps w:val="0"/>
          <w:color w:val="333333"/>
          <w:spacing w:val="0"/>
          <w:sz w:val="27"/>
          <w:szCs w:val="27"/>
        </w:rPr>
      </w:pPr>
      <w:r>
        <w:rPr>
          <w:rFonts w:hint="eastAsia" w:ascii="仿宋" w:hAnsi="仿宋" w:eastAsia="仿宋" w:cs="仿宋"/>
          <w:i w:val="0"/>
          <w:iCs w:val="0"/>
          <w:caps w:val="0"/>
          <w:color w:val="000000"/>
          <w:spacing w:val="0"/>
          <w:sz w:val="31"/>
          <w:szCs w:val="31"/>
        </w:rPr>
        <w:t>拆零分包扫码：药品设置拆零标志。上架拆零前，先拆零采码，把要拆零的药品溯源码先采集即可。</w:t>
      </w:r>
    </w:p>
    <w:p w14:paraId="2227BAD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16"/>
        <w:jc w:val="left"/>
        <w:textAlignment w:val="auto"/>
        <w:rPr>
          <w:rFonts w:hint="eastAsia" w:ascii="Noto Sans SC" w:hAnsi="Noto Sans SC" w:eastAsia="Noto Sans SC" w:cs="Noto Sans SC"/>
          <w:i w:val="0"/>
          <w:iCs w:val="0"/>
          <w:caps w:val="0"/>
          <w:color w:val="333333"/>
          <w:spacing w:val="0"/>
          <w:sz w:val="27"/>
          <w:szCs w:val="27"/>
        </w:rPr>
      </w:pPr>
      <w:r>
        <w:rPr>
          <w:rStyle w:val="6"/>
          <w:rFonts w:hint="eastAsia" w:ascii="仿宋" w:hAnsi="仿宋" w:eastAsia="仿宋" w:cs="仿宋"/>
          <w:i w:val="0"/>
          <w:iCs w:val="0"/>
          <w:caps w:val="0"/>
          <w:color w:val="000000"/>
          <w:spacing w:val="0"/>
          <w:sz w:val="31"/>
          <w:szCs w:val="31"/>
        </w:rPr>
        <w:t>8</w:t>
      </w:r>
      <w:r>
        <w:rPr>
          <w:rStyle w:val="6"/>
          <w:rFonts w:hint="eastAsia" w:ascii="仿宋" w:hAnsi="仿宋" w:eastAsia="仿宋" w:cs="仿宋"/>
          <w:i w:val="0"/>
          <w:iCs w:val="0"/>
          <w:caps w:val="0"/>
          <w:color w:val="000000"/>
          <w:spacing w:val="0"/>
          <w:sz w:val="31"/>
          <w:szCs w:val="31"/>
          <w:lang w:val="en-US" w:eastAsia="zh-CN"/>
        </w:rPr>
        <w:t>.</w:t>
      </w:r>
      <w:r>
        <w:rPr>
          <w:rStyle w:val="6"/>
          <w:rFonts w:hint="eastAsia" w:ascii="仿宋" w:hAnsi="仿宋" w:eastAsia="仿宋" w:cs="仿宋"/>
          <w:i w:val="0"/>
          <w:iCs w:val="0"/>
          <w:caps w:val="0"/>
          <w:color w:val="000000"/>
          <w:spacing w:val="0"/>
          <w:sz w:val="31"/>
          <w:szCs w:val="31"/>
        </w:rPr>
        <w:t>药房处方退货扫码</w:t>
      </w:r>
    </w:p>
    <w:p w14:paraId="71118E2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16"/>
        <w:jc w:val="left"/>
        <w:textAlignment w:val="auto"/>
        <w:rPr>
          <w:rFonts w:hint="eastAsia" w:ascii="Noto Sans SC" w:hAnsi="Noto Sans SC" w:eastAsia="Noto Sans SC" w:cs="Noto Sans SC"/>
          <w:i w:val="0"/>
          <w:iCs w:val="0"/>
          <w:caps w:val="0"/>
          <w:color w:val="333333"/>
          <w:spacing w:val="0"/>
          <w:sz w:val="27"/>
          <w:szCs w:val="27"/>
        </w:rPr>
      </w:pPr>
      <w:r>
        <w:rPr>
          <w:rFonts w:hint="eastAsia" w:ascii="仿宋" w:hAnsi="仿宋" w:eastAsia="仿宋" w:cs="仿宋"/>
          <w:i w:val="0"/>
          <w:iCs w:val="0"/>
          <w:caps w:val="0"/>
          <w:color w:val="000000"/>
          <w:spacing w:val="0"/>
          <w:sz w:val="31"/>
          <w:szCs w:val="31"/>
        </w:rPr>
        <w:t>HIS系统药房退货制单后，退货处方明细扫码复核界面，再拿起药品扫溯源码边，系统自动核对此溯源码是否是该患者的处方记录单药品里的溯源码，防止恶意退货，扫码同时复核处方数量，溯源码都扫码复核完成，HIS系统点击处方退货审核按钮，退款给患者；</w:t>
      </w:r>
    </w:p>
    <w:p w14:paraId="27CE69B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16"/>
        <w:jc w:val="left"/>
        <w:textAlignment w:val="auto"/>
        <w:rPr>
          <w:rFonts w:hint="eastAsia" w:ascii="Noto Sans SC" w:hAnsi="Noto Sans SC" w:eastAsia="Noto Sans SC" w:cs="Noto Sans SC"/>
          <w:i w:val="0"/>
          <w:iCs w:val="0"/>
          <w:caps w:val="0"/>
          <w:color w:val="333333"/>
          <w:spacing w:val="0"/>
          <w:sz w:val="27"/>
          <w:szCs w:val="27"/>
        </w:rPr>
      </w:pPr>
      <w:r>
        <w:rPr>
          <w:rStyle w:val="6"/>
          <w:rFonts w:hint="eastAsia" w:ascii="仿宋" w:hAnsi="仿宋" w:eastAsia="仿宋" w:cs="仿宋"/>
          <w:i w:val="0"/>
          <w:iCs w:val="0"/>
          <w:caps w:val="0"/>
          <w:color w:val="000000"/>
          <w:spacing w:val="0"/>
          <w:sz w:val="31"/>
          <w:szCs w:val="31"/>
        </w:rPr>
        <w:t>9</w:t>
      </w:r>
      <w:r>
        <w:rPr>
          <w:rStyle w:val="6"/>
          <w:rFonts w:hint="eastAsia" w:ascii="仿宋" w:hAnsi="仿宋" w:eastAsia="仿宋" w:cs="仿宋"/>
          <w:i w:val="0"/>
          <w:iCs w:val="0"/>
          <w:caps w:val="0"/>
          <w:color w:val="000000"/>
          <w:spacing w:val="0"/>
          <w:sz w:val="31"/>
          <w:szCs w:val="31"/>
          <w:lang w:val="en-US" w:eastAsia="zh-CN"/>
        </w:rPr>
        <w:t>.</w:t>
      </w:r>
      <w:r>
        <w:rPr>
          <w:rStyle w:val="6"/>
          <w:rFonts w:hint="eastAsia" w:ascii="仿宋" w:hAnsi="仿宋" w:eastAsia="仿宋" w:cs="仿宋"/>
          <w:i w:val="0"/>
          <w:iCs w:val="0"/>
          <w:caps w:val="0"/>
          <w:color w:val="000000"/>
          <w:spacing w:val="0"/>
          <w:sz w:val="31"/>
          <w:szCs w:val="31"/>
        </w:rPr>
        <w:t>平台追溯码报警处理</w:t>
      </w:r>
    </w:p>
    <w:p w14:paraId="579A687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16"/>
        <w:jc w:val="left"/>
        <w:textAlignment w:val="auto"/>
        <w:rPr>
          <w:rFonts w:hint="eastAsia" w:ascii="Noto Sans SC" w:hAnsi="Noto Sans SC" w:eastAsia="Noto Sans SC" w:cs="Noto Sans SC"/>
          <w:i w:val="0"/>
          <w:iCs w:val="0"/>
          <w:caps w:val="0"/>
          <w:color w:val="333333"/>
          <w:spacing w:val="0"/>
          <w:sz w:val="27"/>
          <w:szCs w:val="27"/>
        </w:rPr>
      </w:pPr>
      <w:r>
        <w:rPr>
          <w:rFonts w:hint="eastAsia" w:ascii="仿宋" w:hAnsi="仿宋" w:eastAsia="仿宋" w:cs="仿宋"/>
          <w:i w:val="0"/>
          <w:iCs w:val="0"/>
          <w:caps w:val="0"/>
          <w:color w:val="000000"/>
          <w:spacing w:val="0"/>
          <w:sz w:val="31"/>
          <w:szCs w:val="31"/>
        </w:rPr>
        <w:t>上传前对医院溯源码和上游溯源码进行核对核销，确保上传到省平台的溯源码不会产生报警数据，如因上游数据产生的溯源码报警，我方客户会帮医院处理报警数据。真正做到医院无溯源报警数据，合规高效。</w:t>
      </w:r>
    </w:p>
    <w:p w14:paraId="10396F6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16"/>
        <w:jc w:val="left"/>
        <w:textAlignment w:val="auto"/>
        <w:rPr>
          <w:rFonts w:hint="eastAsia" w:ascii="Noto Sans SC" w:hAnsi="Noto Sans SC" w:eastAsia="Noto Sans SC" w:cs="Noto Sans SC"/>
          <w:i w:val="0"/>
          <w:iCs w:val="0"/>
          <w:caps w:val="0"/>
          <w:color w:val="333333"/>
          <w:spacing w:val="0"/>
          <w:sz w:val="27"/>
          <w:szCs w:val="27"/>
        </w:rPr>
      </w:pPr>
      <w:r>
        <w:rPr>
          <w:rStyle w:val="6"/>
          <w:rFonts w:hint="eastAsia" w:ascii="仿宋" w:hAnsi="仿宋" w:eastAsia="仿宋" w:cs="仿宋"/>
          <w:i w:val="0"/>
          <w:iCs w:val="0"/>
          <w:caps w:val="0"/>
          <w:color w:val="000000"/>
          <w:spacing w:val="0"/>
          <w:sz w:val="31"/>
          <w:szCs w:val="31"/>
        </w:rPr>
        <w:t>10</w:t>
      </w:r>
      <w:r>
        <w:rPr>
          <w:rStyle w:val="6"/>
          <w:rFonts w:hint="eastAsia" w:ascii="仿宋" w:hAnsi="仿宋" w:eastAsia="仿宋" w:cs="仿宋"/>
          <w:i w:val="0"/>
          <w:iCs w:val="0"/>
          <w:caps w:val="0"/>
          <w:color w:val="000000"/>
          <w:spacing w:val="0"/>
          <w:sz w:val="31"/>
          <w:szCs w:val="31"/>
          <w:lang w:val="en-US" w:eastAsia="zh-CN"/>
        </w:rPr>
        <w:t>.</w:t>
      </w:r>
      <w:r>
        <w:rPr>
          <w:rStyle w:val="6"/>
          <w:rFonts w:hint="eastAsia" w:ascii="仿宋" w:hAnsi="仿宋" w:eastAsia="仿宋" w:cs="仿宋"/>
          <w:i w:val="0"/>
          <w:iCs w:val="0"/>
          <w:caps w:val="0"/>
          <w:color w:val="000000"/>
          <w:spacing w:val="0"/>
          <w:sz w:val="31"/>
          <w:szCs w:val="31"/>
        </w:rPr>
        <w:t>院内溯源记录查询</w:t>
      </w:r>
    </w:p>
    <w:p w14:paraId="6CFD2F4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16"/>
        <w:jc w:val="left"/>
        <w:textAlignment w:val="auto"/>
        <w:rPr>
          <w:rFonts w:hint="eastAsia" w:ascii="仿宋" w:hAnsi="仿宋" w:eastAsia="仿宋" w:cs="仿宋"/>
          <w:i w:val="0"/>
          <w:iCs w:val="0"/>
          <w:caps w:val="0"/>
          <w:color w:val="000000"/>
          <w:spacing w:val="0"/>
          <w:sz w:val="31"/>
          <w:szCs w:val="31"/>
        </w:rPr>
      </w:pPr>
      <w:r>
        <w:rPr>
          <w:rFonts w:hint="eastAsia" w:ascii="仿宋" w:hAnsi="仿宋" w:eastAsia="仿宋" w:cs="仿宋"/>
          <w:i w:val="0"/>
          <w:iCs w:val="0"/>
          <w:caps w:val="0"/>
          <w:color w:val="000000"/>
          <w:spacing w:val="0"/>
          <w:sz w:val="31"/>
          <w:szCs w:val="31"/>
        </w:rPr>
        <w:t>查询药库入库、退厂、报损、出库、药房收货、退库、处方出库的溯源码全程记录；</w:t>
      </w:r>
    </w:p>
    <w:p w14:paraId="59C12E7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rPr>
          <w:rFonts w:hint="default" w:ascii="Times New Roman" w:hAnsi="Times New Roman" w:cs="Times New Roman"/>
          <w:i w:val="0"/>
          <w:iCs w:val="0"/>
          <w:caps w:val="0"/>
          <w:color w:val="333333"/>
          <w:spacing w:val="0"/>
          <w:sz w:val="27"/>
          <w:szCs w:val="27"/>
        </w:rPr>
      </w:pPr>
      <w:r>
        <w:rPr>
          <w:rStyle w:val="6"/>
          <w:rFonts w:hint="eastAsia" w:ascii="仿宋" w:hAnsi="仿宋" w:eastAsia="仿宋" w:cs="仿宋"/>
          <w:i w:val="0"/>
          <w:iCs w:val="0"/>
          <w:caps w:val="0"/>
          <w:color w:val="000000"/>
          <w:spacing w:val="0"/>
          <w:sz w:val="31"/>
          <w:szCs w:val="31"/>
        </w:rPr>
        <w:t>1</w:t>
      </w:r>
      <w:r>
        <w:rPr>
          <w:rStyle w:val="6"/>
          <w:rFonts w:hint="eastAsia" w:ascii="仿宋" w:hAnsi="仿宋" w:eastAsia="仿宋" w:cs="仿宋"/>
          <w:i w:val="0"/>
          <w:iCs w:val="0"/>
          <w:caps w:val="0"/>
          <w:color w:val="000000"/>
          <w:spacing w:val="0"/>
          <w:sz w:val="31"/>
          <w:szCs w:val="31"/>
          <w:lang w:val="en-US" w:eastAsia="zh-CN"/>
        </w:rPr>
        <w:t>1.医院借药、义诊用药、抽检用药、急救用药</w:t>
      </w:r>
      <w:r>
        <w:rPr>
          <w:rStyle w:val="6"/>
          <w:rFonts w:hint="eastAsia" w:ascii="仿宋" w:hAnsi="仿宋" w:eastAsia="仿宋" w:cs="仿宋"/>
          <w:i w:val="0"/>
          <w:iCs w:val="0"/>
          <w:caps w:val="0"/>
          <w:color w:val="000000"/>
          <w:spacing w:val="0"/>
          <w:sz w:val="31"/>
          <w:szCs w:val="31"/>
        </w:rPr>
        <w:t>溯源</w:t>
      </w:r>
      <w:r>
        <w:rPr>
          <w:rStyle w:val="6"/>
          <w:rFonts w:hint="eastAsia" w:ascii="仿宋" w:hAnsi="仿宋" w:eastAsia="仿宋" w:cs="仿宋"/>
          <w:i w:val="0"/>
          <w:iCs w:val="0"/>
          <w:caps w:val="0"/>
          <w:color w:val="000000"/>
          <w:spacing w:val="0"/>
          <w:sz w:val="31"/>
          <w:szCs w:val="31"/>
          <w:lang w:val="en-US" w:eastAsia="zh-CN"/>
        </w:rPr>
        <w:t>全链路管理</w:t>
      </w:r>
    </w:p>
    <w:p w14:paraId="7C68E61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rPr>
          <w:rFonts w:hint="eastAsia" w:ascii="仿宋" w:hAnsi="仿宋" w:eastAsia="仿宋" w:cs="仿宋"/>
          <w:b w:val="0"/>
          <w:bCs/>
          <w:i w:val="0"/>
          <w:iCs w:val="0"/>
          <w:caps w:val="0"/>
          <w:color w:val="000000"/>
          <w:spacing w:val="0"/>
          <w:sz w:val="31"/>
          <w:szCs w:val="31"/>
        </w:rPr>
      </w:pPr>
      <w:r>
        <w:rPr>
          <w:rStyle w:val="6"/>
          <w:rFonts w:hint="eastAsia" w:ascii="仿宋" w:hAnsi="仿宋" w:eastAsia="仿宋" w:cs="仿宋"/>
          <w:b w:val="0"/>
          <w:bCs/>
          <w:i w:val="0"/>
          <w:iCs w:val="0"/>
          <w:caps w:val="0"/>
          <w:color w:val="000000"/>
          <w:spacing w:val="0"/>
          <w:sz w:val="31"/>
          <w:szCs w:val="31"/>
          <w:lang w:val="en-US" w:eastAsia="zh-CN"/>
        </w:rPr>
        <w:t>对医院借药进行全链路出虚拟入库追溯码采集库存管理、义诊用药、抽检用药、急救用药出库和退回追溯码采集库存管理</w:t>
      </w:r>
      <w:r>
        <w:rPr>
          <w:rFonts w:hint="eastAsia" w:ascii="仿宋" w:hAnsi="仿宋" w:eastAsia="仿宋" w:cs="仿宋"/>
          <w:b w:val="0"/>
          <w:bCs/>
          <w:i w:val="0"/>
          <w:iCs w:val="0"/>
          <w:caps w:val="0"/>
          <w:color w:val="000000"/>
          <w:spacing w:val="0"/>
          <w:sz w:val="31"/>
          <w:szCs w:val="31"/>
        </w:rPr>
        <w:t>；</w:t>
      </w:r>
    </w:p>
    <w:p w14:paraId="49DFB6D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rPr>
          <w:rFonts w:hint="default" w:ascii="仿宋" w:hAnsi="仿宋" w:eastAsia="仿宋" w:cs="仿宋"/>
          <w:b/>
          <w:bCs/>
          <w:i w:val="0"/>
          <w:iCs w:val="0"/>
          <w:caps w:val="0"/>
          <w:color w:val="000000"/>
          <w:spacing w:val="0"/>
          <w:sz w:val="31"/>
          <w:szCs w:val="31"/>
          <w:lang w:val="en-US" w:eastAsia="zh-CN"/>
        </w:rPr>
      </w:pPr>
      <w:r>
        <w:rPr>
          <w:rFonts w:hint="eastAsia" w:ascii="仿宋" w:hAnsi="仿宋" w:eastAsia="仿宋" w:cs="仿宋"/>
          <w:b/>
          <w:bCs/>
          <w:i w:val="0"/>
          <w:iCs w:val="0"/>
          <w:caps w:val="0"/>
          <w:color w:val="000000"/>
          <w:spacing w:val="0"/>
          <w:sz w:val="31"/>
          <w:szCs w:val="31"/>
          <w:lang w:val="en-US" w:eastAsia="zh-CN"/>
        </w:rPr>
        <w:t>12.外配药品追溯管理</w:t>
      </w:r>
    </w:p>
    <w:p w14:paraId="59D1AE0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rPr>
          <w:rFonts w:hint="eastAsia" w:ascii="仿宋" w:hAnsi="仿宋" w:eastAsia="仿宋" w:cs="仿宋"/>
          <w:i w:val="0"/>
          <w:iCs w:val="0"/>
          <w:caps w:val="0"/>
          <w:color w:val="000000"/>
          <w:spacing w:val="0"/>
          <w:sz w:val="31"/>
          <w:szCs w:val="31"/>
          <w:lang w:val="en-US" w:eastAsia="zh-CN"/>
        </w:rPr>
      </w:pPr>
      <w:r>
        <w:rPr>
          <w:rFonts w:hint="eastAsia" w:ascii="仿宋" w:hAnsi="仿宋" w:eastAsia="仿宋" w:cs="仿宋"/>
          <w:i w:val="0"/>
          <w:iCs w:val="0"/>
          <w:caps w:val="0"/>
          <w:color w:val="000000"/>
          <w:spacing w:val="0"/>
          <w:sz w:val="31"/>
          <w:szCs w:val="31"/>
          <w:lang w:val="en-US" w:eastAsia="zh-CN"/>
        </w:rPr>
        <w:t>医院开处方，药品由供应商直接送货上门到患者家的药品，供应商配送人员通过PDA安装外配药品追溯app，按患者处方进行溯源码采集对照和签收管理，并传回医院将数据上传到省医保。</w:t>
      </w:r>
    </w:p>
    <w:p w14:paraId="0F18489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rPr>
          <w:rFonts w:hint="default" w:ascii="仿宋" w:hAnsi="仿宋" w:eastAsia="仿宋" w:cs="仿宋"/>
          <w:b/>
          <w:bCs/>
          <w:i w:val="0"/>
          <w:iCs w:val="0"/>
          <w:caps w:val="0"/>
          <w:color w:val="000000"/>
          <w:spacing w:val="0"/>
          <w:sz w:val="31"/>
          <w:szCs w:val="31"/>
          <w:lang w:val="en-US" w:eastAsia="zh-CN"/>
        </w:rPr>
      </w:pPr>
      <w:r>
        <w:rPr>
          <w:rFonts w:hint="eastAsia" w:ascii="仿宋" w:hAnsi="仿宋" w:eastAsia="仿宋" w:cs="仿宋"/>
          <w:b/>
          <w:bCs/>
          <w:i w:val="0"/>
          <w:iCs w:val="0"/>
          <w:caps w:val="0"/>
          <w:color w:val="000000"/>
          <w:spacing w:val="0"/>
          <w:sz w:val="31"/>
          <w:szCs w:val="31"/>
          <w:lang w:val="en-US" w:eastAsia="zh-CN"/>
        </w:rPr>
        <w:t>13.精麻药品院内电子台账管理</w:t>
      </w:r>
    </w:p>
    <w:p w14:paraId="2B124F0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rPr>
          <w:rFonts w:hint="eastAsia" w:ascii="仿宋" w:hAnsi="仿宋" w:eastAsia="仿宋" w:cs="仿宋"/>
          <w:i w:val="0"/>
          <w:iCs w:val="0"/>
          <w:caps w:val="0"/>
          <w:color w:val="000000"/>
          <w:spacing w:val="0"/>
          <w:sz w:val="31"/>
          <w:szCs w:val="31"/>
        </w:rPr>
      </w:pPr>
      <w:r>
        <w:rPr>
          <w:rFonts w:hint="eastAsia" w:ascii="仿宋" w:hAnsi="仿宋" w:eastAsia="仿宋" w:cs="仿宋"/>
          <w:i w:val="0"/>
          <w:iCs w:val="0"/>
          <w:caps w:val="0"/>
          <w:color w:val="000000"/>
          <w:spacing w:val="0"/>
          <w:sz w:val="31"/>
          <w:szCs w:val="31"/>
          <w:lang w:val="en-US" w:eastAsia="zh-CN"/>
        </w:rPr>
        <w:t>用PDA对精麻药品在院内的出入库按追溯码进行详细的扫码出入库采集登记和追溯码库存管理，自动建立精麻药品院内电子台账，代替纸质登记记录。</w:t>
      </w:r>
    </w:p>
    <w:p w14:paraId="61EF066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16"/>
        <w:jc w:val="left"/>
        <w:textAlignment w:val="auto"/>
        <w:rPr>
          <w:rFonts w:hint="eastAsia" w:ascii="Noto Sans SC" w:hAnsi="Noto Sans SC" w:eastAsia="Noto Sans SC" w:cs="Noto Sans SC"/>
          <w:i w:val="0"/>
          <w:iCs w:val="0"/>
          <w:caps w:val="0"/>
          <w:color w:val="333333"/>
          <w:spacing w:val="0"/>
          <w:sz w:val="27"/>
          <w:szCs w:val="27"/>
        </w:rPr>
      </w:pPr>
      <w:r>
        <w:rPr>
          <w:rStyle w:val="6"/>
          <w:rFonts w:hint="eastAsia" w:ascii="仿宋" w:hAnsi="仿宋" w:eastAsia="仿宋" w:cs="仿宋"/>
          <w:i w:val="0"/>
          <w:iCs w:val="0"/>
          <w:caps w:val="0"/>
          <w:color w:val="000000"/>
          <w:spacing w:val="0"/>
          <w:sz w:val="31"/>
          <w:szCs w:val="31"/>
        </w:rPr>
        <w:t>1</w:t>
      </w:r>
      <w:r>
        <w:rPr>
          <w:rStyle w:val="6"/>
          <w:rFonts w:hint="eastAsia" w:ascii="仿宋" w:hAnsi="仿宋" w:eastAsia="仿宋" w:cs="仿宋"/>
          <w:i w:val="0"/>
          <w:iCs w:val="0"/>
          <w:caps w:val="0"/>
          <w:color w:val="000000"/>
          <w:spacing w:val="0"/>
          <w:sz w:val="31"/>
          <w:szCs w:val="31"/>
          <w:lang w:val="en-US" w:eastAsia="zh-CN"/>
        </w:rPr>
        <w:t>4.</w:t>
      </w:r>
      <w:r>
        <w:rPr>
          <w:rStyle w:val="6"/>
          <w:rFonts w:hint="eastAsia" w:ascii="仿宋" w:hAnsi="仿宋" w:eastAsia="仿宋" w:cs="仿宋"/>
          <w:i w:val="0"/>
          <w:iCs w:val="0"/>
          <w:caps w:val="0"/>
          <w:color w:val="000000"/>
          <w:spacing w:val="0"/>
          <w:sz w:val="31"/>
          <w:szCs w:val="31"/>
        </w:rPr>
        <w:t>溯源码对接上传</w:t>
      </w:r>
    </w:p>
    <w:p w14:paraId="1D191B9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16"/>
        <w:jc w:val="left"/>
        <w:textAlignment w:val="auto"/>
        <w:rPr>
          <w:rFonts w:hint="eastAsia" w:ascii="仿宋" w:hAnsi="仿宋" w:eastAsia="仿宋" w:cs="仿宋"/>
          <w:i w:val="0"/>
          <w:iCs w:val="0"/>
          <w:caps w:val="0"/>
          <w:color w:val="000000"/>
          <w:spacing w:val="0"/>
          <w:sz w:val="31"/>
          <w:szCs w:val="31"/>
          <w:lang w:eastAsia="zh-CN"/>
        </w:rPr>
      </w:pPr>
      <w:r>
        <w:rPr>
          <w:rFonts w:hint="eastAsia" w:ascii="仿宋" w:hAnsi="仿宋" w:eastAsia="仿宋" w:cs="仿宋"/>
          <w:i w:val="0"/>
          <w:iCs w:val="0"/>
          <w:caps w:val="0"/>
          <w:color w:val="000000"/>
          <w:spacing w:val="0"/>
          <w:sz w:val="31"/>
          <w:szCs w:val="31"/>
        </w:rPr>
        <w:t>将药库入库、退厂、报损、出库、药房收货、退库、处方出库的溯源码记录通过接口上传给码上放心平台和省医保平台</w:t>
      </w:r>
      <w:r>
        <w:rPr>
          <w:rFonts w:hint="eastAsia" w:ascii="仿宋" w:hAnsi="仿宋" w:eastAsia="仿宋" w:cs="仿宋"/>
          <w:i w:val="0"/>
          <w:iCs w:val="0"/>
          <w:caps w:val="0"/>
          <w:color w:val="000000"/>
          <w:spacing w:val="0"/>
          <w:sz w:val="31"/>
          <w:szCs w:val="31"/>
          <w:lang w:eastAsia="zh-CN"/>
        </w:rPr>
        <w:t>。</w:t>
      </w:r>
    </w:p>
    <w:p w14:paraId="274B0E1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16"/>
        <w:jc w:val="left"/>
        <w:textAlignment w:val="auto"/>
        <w:rPr>
          <w:rFonts w:hint="eastAsia" w:ascii="黑体" w:hAnsi="宋体" w:eastAsia="黑体" w:cs="黑体"/>
          <w:i w:val="0"/>
          <w:iCs w:val="0"/>
          <w:caps w:val="0"/>
          <w:color w:val="000000"/>
          <w:spacing w:val="0"/>
          <w:sz w:val="32"/>
          <w:szCs w:val="32"/>
        </w:rPr>
      </w:pPr>
      <w:r>
        <w:rPr>
          <w:rFonts w:hint="eastAsia" w:ascii="黑体" w:hAnsi="宋体" w:eastAsia="黑体" w:cs="黑体"/>
          <w:i w:val="0"/>
          <w:iCs w:val="0"/>
          <w:caps w:val="0"/>
          <w:color w:val="000000"/>
          <w:spacing w:val="0"/>
          <w:sz w:val="32"/>
          <w:szCs w:val="32"/>
        </w:rPr>
        <w:t>三、报价清单</w:t>
      </w:r>
    </w:p>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122"/>
        <w:gridCol w:w="2273"/>
        <w:gridCol w:w="1705"/>
        <w:gridCol w:w="1708"/>
        <w:gridCol w:w="1708"/>
      </w:tblGrid>
      <w:tr w14:paraId="7EFF6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8" w:hRule="atLeast"/>
        </w:trPr>
        <w:tc>
          <w:tcPr>
            <w:tcW w:w="1122" w:type="dxa"/>
            <w:tcBorders>
              <w:top w:val="single" w:color="000000" w:sz="4" w:space="0"/>
              <w:left w:val="single" w:color="000000" w:sz="4" w:space="0"/>
              <w:bottom w:val="single" w:color="000000" w:sz="4" w:space="0"/>
              <w:right w:val="single" w:color="000000" w:sz="4" w:space="0"/>
            </w:tcBorders>
            <w:shd w:val="clear" w:color="auto" w:fill="auto"/>
            <w:tcMar>
              <w:left w:w="105" w:type="dxa"/>
              <w:right w:w="105" w:type="dxa"/>
            </w:tcMar>
            <w:vAlign w:val="top"/>
          </w:tcPr>
          <w:p w14:paraId="2EC3499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center"/>
              <w:textAlignment w:val="auto"/>
              <w:rPr>
                <w:b/>
                <w:bCs/>
              </w:rPr>
            </w:pPr>
            <w:r>
              <w:rPr>
                <w:rFonts w:hint="eastAsia" w:ascii="仿宋" w:hAnsi="仿宋" w:eastAsia="仿宋" w:cs="仿宋"/>
                <w:b/>
                <w:bCs/>
                <w:i w:val="0"/>
                <w:iCs w:val="0"/>
                <w:caps w:val="0"/>
                <w:color w:val="000000"/>
                <w:spacing w:val="0"/>
                <w:sz w:val="31"/>
                <w:szCs w:val="31"/>
              </w:rPr>
              <w:t>序号</w:t>
            </w:r>
          </w:p>
        </w:tc>
        <w:tc>
          <w:tcPr>
            <w:tcW w:w="2273" w:type="dxa"/>
            <w:tcBorders>
              <w:top w:val="single" w:color="000000" w:sz="4" w:space="0"/>
              <w:left w:val="single" w:color="000000" w:sz="4" w:space="0"/>
              <w:bottom w:val="single" w:color="000000" w:sz="4" w:space="0"/>
              <w:right w:val="single" w:color="000000" w:sz="4" w:space="0"/>
            </w:tcBorders>
            <w:shd w:val="clear" w:color="auto" w:fill="auto"/>
            <w:tcMar>
              <w:left w:w="105" w:type="dxa"/>
              <w:right w:w="105" w:type="dxa"/>
            </w:tcMar>
            <w:vAlign w:val="top"/>
          </w:tcPr>
          <w:p w14:paraId="7F68E23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center"/>
              <w:textAlignment w:val="auto"/>
              <w:rPr>
                <w:b/>
                <w:bCs/>
              </w:rPr>
            </w:pPr>
            <w:r>
              <w:rPr>
                <w:rFonts w:hint="eastAsia" w:ascii="仿宋" w:hAnsi="仿宋" w:eastAsia="仿宋" w:cs="仿宋"/>
                <w:b/>
                <w:bCs/>
                <w:i w:val="0"/>
                <w:iCs w:val="0"/>
                <w:caps w:val="0"/>
                <w:color w:val="000000"/>
                <w:spacing w:val="0"/>
                <w:sz w:val="31"/>
                <w:szCs w:val="31"/>
              </w:rPr>
              <w:t>内容</w:t>
            </w:r>
          </w:p>
        </w:tc>
        <w:tc>
          <w:tcPr>
            <w:tcW w:w="1705" w:type="dxa"/>
            <w:tcBorders>
              <w:top w:val="single" w:color="000000" w:sz="4" w:space="0"/>
              <w:left w:val="single" w:color="000000" w:sz="4" w:space="0"/>
              <w:bottom w:val="single" w:color="000000" w:sz="4" w:space="0"/>
              <w:right w:val="single" w:color="000000" w:sz="4" w:space="0"/>
            </w:tcBorders>
            <w:shd w:val="clear" w:color="auto" w:fill="auto"/>
            <w:tcMar>
              <w:left w:w="105" w:type="dxa"/>
              <w:right w:w="105" w:type="dxa"/>
            </w:tcMar>
            <w:vAlign w:val="top"/>
          </w:tcPr>
          <w:p w14:paraId="2AA03E7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center"/>
              <w:textAlignment w:val="auto"/>
              <w:rPr>
                <w:b/>
                <w:bCs/>
              </w:rPr>
            </w:pPr>
            <w:r>
              <w:rPr>
                <w:rFonts w:hint="eastAsia" w:ascii="仿宋" w:hAnsi="仿宋" w:eastAsia="仿宋" w:cs="仿宋"/>
                <w:b/>
                <w:bCs/>
                <w:i w:val="0"/>
                <w:iCs w:val="0"/>
                <w:caps w:val="0"/>
                <w:color w:val="000000"/>
                <w:spacing w:val="0"/>
                <w:sz w:val="31"/>
                <w:szCs w:val="31"/>
              </w:rPr>
              <w:t>数量</w:t>
            </w:r>
          </w:p>
        </w:tc>
        <w:tc>
          <w:tcPr>
            <w:tcW w:w="1708" w:type="dxa"/>
            <w:tcBorders>
              <w:top w:val="single" w:color="000000" w:sz="4" w:space="0"/>
              <w:left w:val="single" w:color="000000" w:sz="4" w:space="0"/>
              <w:bottom w:val="single" w:color="000000" w:sz="4" w:space="0"/>
              <w:right w:val="single" w:color="000000" w:sz="4" w:space="0"/>
            </w:tcBorders>
            <w:shd w:val="clear" w:color="auto" w:fill="auto"/>
            <w:tcMar>
              <w:left w:w="105" w:type="dxa"/>
              <w:right w:w="105" w:type="dxa"/>
            </w:tcMar>
            <w:vAlign w:val="top"/>
          </w:tcPr>
          <w:p w14:paraId="55C5DC6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center"/>
              <w:textAlignment w:val="auto"/>
              <w:rPr>
                <w:b/>
                <w:bCs/>
              </w:rPr>
            </w:pPr>
            <w:r>
              <w:rPr>
                <w:rFonts w:hint="eastAsia" w:ascii="仿宋" w:hAnsi="仿宋" w:eastAsia="仿宋" w:cs="仿宋"/>
                <w:b/>
                <w:bCs/>
                <w:i w:val="0"/>
                <w:iCs w:val="0"/>
                <w:caps w:val="0"/>
                <w:color w:val="000000"/>
                <w:spacing w:val="0"/>
                <w:sz w:val="31"/>
                <w:szCs w:val="31"/>
              </w:rPr>
              <w:t>单价（元）</w:t>
            </w:r>
          </w:p>
        </w:tc>
        <w:tc>
          <w:tcPr>
            <w:tcW w:w="1708" w:type="dxa"/>
            <w:tcBorders>
              <w:top w:val="single" w:color="000000" w:sz="4" w:space="0"/>
              <w:left w:val="single" w:color="000000" w:sz="4" w:space="0"/>
              <w:bottom w:val="single" w:color="000000" w:sz="4" w:space="0"/>
              <w:right w:val="single" w:color="000000" w:sz="4" w:space="0"/>
            </w:tcBorders>
            <w:shd w:val="clear" w:color="auto" w:fill="auto"/>
            <w:tcMar>
              <w:left w:w="105" w:type="dxa"/>
              <w:right w:w="105" w:type="dxa"/>
            </w:tcMar>
            <w:vAlign w:val="top"/>
          </w:tcPr>
          <w:p w14:paraId="4DE103F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center"/>
              <w:textAlignment w:val="auto"/>
              <w:rPr>
                <w:b/>
                <w:bCs/>
              </w:rPr>
            </w:pPr>
            <w:r>
              <w:rPr>
                <w:rFonts w:hint="eastAsia" w:ascii="仿宋" w:hAnsi="仿宋" w:eastAsia="仿宋" w:cs="仿宋"/>
                <w:b/>
                <w:bCs/>
                <w:i w:val="0"/>
                <w:iCs w:val="0"/>
                <w:caps w:val="0"/>
                <w:color w:val="000000"/>
                <w:spacing w:val="0"/>
                <w:sz w:val="31"/>
                <w:szCs w:val="31"/>
              </w:rPr>
              <w:t>总价（元）</w:t>
            </w:r>
          </w:p>
        </w:tc>
      </w:tr>
      <w:tr w14:paraId="27548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618" w:hRule="atLeast"/>
        </w:trPr>
        <w:tc>
          <w:tcPr>
            <w:tcW w:w="1122" w:type="dxa"/>
            <w:tcBorders>
              <w:top w:val="nil"/>
              <w:left w:val="single" w:color="000000" w:sz="4" w:space="0"/>
              <w:bottom w:val="single" w:color="000000" w:sz="4" w:space="0"/>
              <w:right w:val="single" w:color="000000" w:sz="4" w:space="0"/>
            </w:tcBorders>
            <w:shd w:val="clear" w:color="auto" w:fill="auto"/>
            <w:tcMar>
              <w:left w:w="105" w:type="dxa"/>
              <w:right w:w="105" w:type="dxa"/>
            </w:tcMar>
            <w:vAlign w:val="center"/>
          </w:tcPr>
          <w:p w14:paraId="2E6EFF4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center"/>
              <w:textAlignment w:val="auto"/>
            </w:pPr>
            <w:r>
              <w:rPr>
                <w:rFonts w:hint="eastAsia" w:ascii="仿宋" w:hAnsi="仿宋" w:eastAsia="仿宋" w:cs="仿宋"/>
                <w:i w:val="0"/>
                <w:iCs w:val="0"/>
                <w:caps w:val="0"/>
                <w:color w:val="000000"/>
                <w:spacing w:val="0"/>
                <w:sz w:val="31"/>
                <w:szCs w:val="31"/>
              </w:rPr>
              <w:t>1</w:t>
            </w:r>
          </w:p>
        </w:tc>
        <w:tc>
          <w:tcPr>
            <w:tcW w:w="2273" w:type="dxa"/>
            <w:tcBorders>
              <w:top w:val="nil"/>
              <w:left w:val="single" w:color="000000" w:sz="4" w:space="0"/>
              <w:bottom w:val="single" w:color="000000" w:sz="4" w:space="0"/>
              <w:right w:val="single" w:color="000000" w:sz="4" w:space="0"/>
            </w:tcBorders>
            <w:shd w:val="clear" w:color="auto" w:fill="auto"/>
            <w:tcMar>
              <w:left w:w="105" w:type="dxa"/>
              <w:right w:w="105" w:type="dxa"/>
            </w:tcMar>
            <w:vAlign w:val="center"/>
          </w:tcPr>
          <w:p w14:paraId="75B0C77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center"/>
              <w:textAlignment w:val="auto"/>
            </w:pPr>
            <w:r>
              <w:rPr>
                <w:rFonts w:hint="eastAsia" w:ascii="仿宋" w:hAnsi="仿宋" w:eastAsia="仿宋" w:cs="仿宋"/>
                <w:i w:val="0"/>
                <w:iCs w:val="0"/>
                <w:caps w:val="0"/>
                <w:color w:val="000000"/>
                <w:spacing w:val="0"/>
                <w:sz w:val="31"/>
                <w:szCs w:val="31"/>
              </w:rPr>
              <w:t>药品全链路追溯管理系统</w:t>
            </w:r>
          </w:p>
        </w:tc>
        <w:tc>
          <w:tcPr>
            <w:tcW w:w="1705" w:type="dxa"/>
            <w:tcBorders>
              <w:top w:val="nil"/>
              <w:left w:val="single" w:color="000000" w:sz="4" w:space="0"/>
              <w:bottom w:val="single" w:color="000000" w:sz="4" w:space="0"/>
              <w:right w:val="single" w:color="000000" w:sz="4" w:space="0"/>
            </w:tcBorders>
            <w:shd w:val="clear" w:color="auto" w:fill="auto"/>
            <w:tcMar>
              <w:left w:w="105" w:type="dxa"/>
              <w:right w:w="105" w:type="dxa"/>
            </w:tcMar>
            <w:vAlign w:val="center"/>
          </w:tcPr>
          <w:p w14:paraId="0EC4503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center"/>
              <w:textAlignment w:val="auto"/>
            </w:pPr>
            <w:r>
              <w:rPr>
                <w:rFonts w:hint="eastAsia" w:ascii="仿宋" w:hAnsi="仿宋" w:eastAsia="仿宋" w:cs="仿宋"/>
                <w:i w:val="0"/>
                <w:iCs w:val="0"/>
                <w:caps w:val="0"/>
                <w:color w:val="000000"/>
                <w:spacing w:val="0"/>
                <w:sz w:val="31"/>
                <w:szCs w:val="31"/>
              </w:rPr>
              <w:t>1套</w:t>
            </w:r>
          </w:p>
        </w:tc>
        <w:tc>
          <w:tcPr>
            <w:tcW w:w="1708" w:type="dxa"/>
            <w:tcBorders>
              <w:top w:val="nil"/>
              <w:left w:val="single" w:color="000000" w:sz="4" w:space="0"/>
              <w:bottom w:val="single" w:color="000000" w:sz="4" w:space="0"/>
              <w:right w:val="single" w:color="000000" w:sz="4" w:space="0"/>
            </w:tcBorders>
            <w:shd w:val="clear" w:color="auto" w:fill="auto"/>
            <w:tcMar>
              <w:left w:w="105" w:type="dxa"/>
              <w:right w:w="105" w:type="dxa"/>
            </w:tcMar>
            <w:vAlign w:val="top"/>
          </w:tcPr>
          <w:p w14:paraId="7BA818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Noto Sans SC" w:hAnsi="Noto Sans SC" w:eastAsia="Noto Sans SC" w:cs="Noto Sans SC"/>
                <w:i w:val="0"/>
                <w:iCs w:val="0"/>
                <w:caps w:val="0"/>
                <w:color w:val="333333"/>
                <w:spacing w:val="0"/>
                <w:sz w:val="27"/>
                <w:szCs w:val="27"/>
              </w:rPr>
            </w:pPr>
          </w:p>
        </w:tc>
        <w:tc>
          <w:tcPr>
            <w:tcW w:w="1708" w:type="dxa"/>
            <w:tcBorders>
              <w:top w:val="nil"/>
              <w:left w:val="single" w:color="000000" w:sz="4" w:space="0"/>
              <w:bottom w:val="single" w:color="000000" w:sz="4" w:space="0"/>
              <w:right w:val="single" w:color="000000" w:sz="4" w:space="0"/>
            </w:tcBorders>
            <w:shd w:val="clear" w:color="auto" w:fill="auto"/>
            <w:tcMar>
              <w:left w:w="105" w:type="dxa"/>
              <w:right w:w="105" w:type="dxa"/>
            </w:tcMar>
            <w:vAlign w:val="top"/>
          </w:tcPr>
          <w:p w14:paraId="0DF0DC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Noto Sans SC" w:hAnsi="Noto Sans SC" w:eastAsia="Noto Sans SC" w:cs="Noto Sans SC"/>
                <w:i w:val="0"/>
                <w:iCs w:val="0"/>
                <w:caps w:val="0"/>
                <w:color w:val="333333"/>
                <w:spacing w:val="0"/>
                <w:sz w:val="27"/>
                <w:szCs w:val="27"/>
              </w:rPr>
            </w:pPr>
          </w:p>
        </w:tc>
      </w:tr>
    </w:tbl>
    <w:p w14:paraId="1CF00EC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4" w:lineRule="atLeast"/>
        <w:ind w:right="0" w:firstLine="640" w:firstLineChars="200"/>
        <w:jc w:val="left"/>
        <w:rPr>
          <w:rFonts w:hint="eastAsia" w:ascii="黑体" w:hAnsi="宋体" w:eastAsia="黑体" w:cs="黑体"/>
          <w:i w:val="0"/>
          <w:iCs w:val="0"/>
          <w:caps w:val="0"/>
          <w:color w:val="000000"/>
          <w:spacing w:val="0"/>
          <w:sz w:val="32"/>
          <w:szCs w:val="32"/>
          <w:lang w:val="en-US" w:eastAsia="zh-CN"/>
        </w:rPr>
      </w:pPr>
      <w:r>
        <w:rPr>
          <w:rFonts w:hint="eastAsia" w:ascii="黑体" w:hAnsi="宋体" w:eastAsia="黑体" w:cs="黑体"/>
          <w:i w:val="0"/>
          <w:iCs w:val="0"/>
          <w:caps w:val="0"/>
          <w:color w:val="000000"/>
          <w:spacing w:val="0"/>
          <w:sz w:val="32"/>
          <w:szCs w:val="32"/>
          <w:lang w:val="en-US" w:eastAsia="zh-CN"/>
        </w:rPr>
        <w:t>四、商务条款</w:t>
      </w:r>
    </w:p>
    <w:p w14:paraId="3D963A4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1.服务时间：至少提供1年的免费售后维保服务时长。</w:t>
      </w:r>
    </w:p>
    <w:p w14:paraId="494FBC8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2.服务地点：赣州蓉江新区人民医院。</w:t>
      </w:r>
    </w:p>
    <w:p w14:paraId="3787378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3.开发实施周期：自合同签订之日起，15个工作日完成初版调试上线，现场派驻人员指导使用。</w:t>
      </w:r>
    </w:p>
    <w:p w14:paraId="049D760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4.付款方式：</w:t>
      </w:r>
      <w:r>
        <w:rPr>
          <w:rFonts w:hint="eastAsia" w:ascii="仿宋_GB2312" w:hAnsi="仿宋_GB2312" w:eastAsia="仿宋_GB2312" w:cs="仿宋_GB2312"/>
          <w:sz w:val="32"/>
          <w:szCs w:val="32"/>
          <w:highlight w:val="none"/>
          <w:lang w:val="zh-CN" w:eastAsia="zh-CN"/>
        </w:rPr>
        <w:t>经</w:t>
      </w:r>
      <w:r>
        <w:rPr>
          <w:rFonts w:hint="eastAsia" w:ascii="仿宋_GB2312" w:hAnsi="仿宋_GB2312" w:eastAsia="仿宋_GB2312" w:cs="仿宋_GB2312"/>
          <w:sz w:val="32"/>
          <w:szCs w:val="32"/>
          <w:highlight w:val="none"/>
          <w:lang w:val="en-US" w:eastAsia="zh-CN"/>
        </w:rPr>
        <w:t>采购人</w:t>
      </w:r>
      <w:r>
        <w:rPr>
          <w:rFonts w:hint="eastAsia" w:ascii="仿宋_GB2312" w:hAnsi="仿宋_GB2312" w:eastAsia="仿宋_GB2312" w:cs="仿宋_GB2312"/>
          <w:sz w:val="32"/>
          <w:szCs w:val="32"/>
          <w:highlight w:val="none"/>
          <w:lang w:val="zh-CN" w:eastAsia="zh-CN"/>
        </w:rPr>
        <w:t>验收合格并收到成交供应商提供的相应金额合法税票后</w:t>
      </w:r>
      <w:r>
        <w:rPr>
          <w:rFonts w:hint="eastAsia" w:ascii="仿宋_GB2312" w:hAnsi="仿宋_GB2312" w:eastAsia="仿宋_GB2312" w:cs="仿宋_GB2312"/>
          <w:sz w:val="32"/>
          <w:szCs w:val="32"/>
          <w:highlight w:val="none"/>
          <w:lang w:val="en-US" w:eastAsia="zh-CN"/>
        </w:rPr>
        <w:t>30</w:t>
      </w:r>
      <w:r>
        <w:rPr>
          <w:rFonts w:hint="eastAsia" w:ascii="仿宋_GB2312" w:hAnsi="仿宋_GB2312" w:eastAsia="仿宋_GB2312" w:cs="仿宋_GB2312"/>
          <w:sz w:val="32"/>
          <w:szCs w:val="32"/>
          <w:highlight w:val="none"/>
          <w:lang w:val="zh-CN" w:eastAsia="zh-CN"/>
        </w:rPr>
        <w:t>天内以转帐方式支付</w:t>
      </w:r>
      <w:r>
        <w:rPr>
          <w:rFonts w:hint="eastAsia" w:ascii="仿宋_GB2312" w:hAnsi="仿宋_GB2312" w:eastAsia="仿宋_GB2312" w:cs="仿宋_GB2312"/>
          <w:sz w:val="32"/>
          <w:szCs w:val="32"/>
          <w:highlight w:val="none"/>
          <w:lang w:val="en-US" w:eastAsia="zh-CN"/>
        </w:rPr>
        <w:t>合同款项</w:t>
      </w:r>
      <w:r>
        <w:rPr>
          <w:rFonts w:hint="eastAsia" w:ascii="仿宋_GB2312" w:hAnsi="仿宋_GB2312" w:eastAsia="仿宋_GB2312" w:cs="仿宋_GB2312"/>
          <w:sz w:val="32"/>
          <w:szCs w:val="32"/>
          <w:highlight w:val="none"/>
          <w:lang w:val="zh-CN" w:eastAsia="zh-CN"/>
        </w:rPr>
        <w:t>。</w:t>
      </w:r>
    </w:p>
    <w:p w14:paraId="76A1598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5.履约保证金：供应商按合同金额的5%向采购人转账（或支票、汇票、本票、保函等）缴纳本项目的履约保证金。履约保证金在服务到期后一次性无息退还，如有违约，按照合同约定处理。</w:t>
      </w:r>
    </w:p>
    <w:p w14:paraId="556B7C1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6.验收：将按照合同的约定对每一项技术、服务、安全标准的履约情况进行确认，验收结束后，由验收双方共同签署。</w:t>
      </w:r>
    </w:p>
    <w:p w14:paraId="516D0BF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黑体" w:hAnsi="黑体" w:eastAsia="黑体" w:cs="黑体"/>
          <w:i w:val="0"/>
          <w:iCs w:val="0"/>
          <w:caps w:val="0"/>
          <w:color w:val="000000"/>
          <w:spacing w:val="0"/>
          <w:sz w:val="31"/>
          <w:szCs w:val="31"/>
          <w:lang w:val="en-US" w:eastAsia="zh-CN"/>
        </w:rPr>
      </w:pPr>
      <w:r>
        <w:rPr>
          <w:rFonts w:hint="eastAsia" w:ascii="仿宋_GB2312" w:hAnsi="仿宋_GB2312" w:eastAsia="仿宋_GB2312" w:cs="仿宋_GB2312"/>
          <w:b w:val="0"/>
          <w:bCs w:val="0"/>
          <w:color w:val="auto"/>
          <w:kern w:val="2"/>
          <w:sz w:val="32"/>
          <w:szCs w:val="32"/>
          <w:highlight w:val="none"/>
          <w:lang w:val="en-US" w:eastAsia="zh-CN" w:bidi="ar-SA"/>
        </w:rPr>
        <w:t>7.质量保证、售后服务、违约责任等见合同文本。</w:t>
      </w:r>
    </w:p>
    <w:p w14:paraId="0F167BD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Noto Sans SC">
    <w:panose1 w:val="020B0200000000000000"/>
    <w:charset w:val="86"/>
    <w:family w:val="auto"/>
    <w:pitch w:val="default"/>
    <w:sig w:usb0="20000083" w:usb1="2ADF3C10" w:usb2="00000016" w:usb3="00000000" w:csb0="60060107"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楷体_GB2312">
    <w:panose1 w:val="02000000000000000000"/>
    <w:charset w:val="86"/>
    <w:family w:val="auto"/>
    <w:pitch w:val="default"/>
    <w:sig w:usb0="A00002BF" w:usb1="184F6CFA" w:usb2="00000012" w:usb3="00000000" w:csb0="00040001" w:csb1="00000000"/>
  </w:font>
  <w:font w:name="方正公文小标宋">
    <w:panose1 w:val="02000500000000000000"/>
    <w:charset w:val="86"/>
    <w:family w:val="auto"/>
    <w:pitch w:val="default"/>
    <w:sig w:usb0="A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666D7B"/>
    <w:multiLevelType w:val="singleLevel"/>
    <w:tmpl w:val="92666D7B"/>
    <w:lvl w:ilvl="0" w:tentative="0">
      <w:start w:val="6"/>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D06700"/>
    <w:rsid w:val="0B0264D2"/>
    <w:rsid w:val="14646D36"/>
    <w:rsid w:val="18694035"/>
    <w:rsid w:val="20CA3197"/>
    <w:rsid w:val="210D4F2D"/>
    <w:rsid w:val="2297074A"/>
    <w:rsid w:val="2322550C"/>
    <w:rsid w:val="2B391645"/>
    <w:rsid w:val="32EB3B6C"/>
    <w:rsid w:val="378620B5"/>
    <w:rsid w:val="3A037336"/>
    <w:rsid w:val="3A2F4E4B"/>
    <w:rsid w:val="3D0733E2"/>
    <w:rsid w:val="449F6565"/>
    <w:rsid w:val="523F4EE3"/>
    <w:rsid w:val="57715B3F"/>
    <w:rsid w:val="69106B36"/>
    <w:rsid w:val="6E5E76E4"/>
    <w:rsid w:val="7621477C"/>
    <w:rsid w:val="7FDD5B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tabs>
        <w:tab w:val="left" w:pos="42"/>
      </w:tabs>
      <w:adjustRightInd w:val="0"/>
      <w:spacing w:before="340" w:after="330" w:line="578" w:lineRule="auto"/>
      <w:textAlignment w:val="baseline"/>
      <w:outlineLvl w:val="0"/>
    </w:pPr>
    <w:rPr>
      <w:rFonts w:ascii="等线" w:hAnsi="等线" w:eastAsia="等线"/>
      <w:b/>
      <w:bCs/>
      <w:kern w:val="44"/>
      <w:sz w:val="44"/>
      <w:szCs w:val="44"/>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2467</Words>
  <Characters>2552</Characters>
  <Lines>0</Lines>
  <Paragraphs>0</Paragraphs>
  <TotalTime>25</TotalTime>
  <ScaleCrop>false</ScaleCrop>
  <LinksUpToDate>false</LinksUpToDate>
  <CharactersWithSpaces>2553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2026-09-09T01:47:00Z</dcterms:created>
  <dc:creator>wanyang</dc:creator>
  <cp:lastModifiedBy>钟业程</cp:lastModifiedBy>
  <cp:lastPrinted>2026-09-16T01:11:58Z</cp:lastPrinted>
  <dcterms:modified xsi:type="dcterms:W3CDTF">2026-09-16T01:16:23Z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eyJoZGlkIjoiODNlNmQ4MWYzNDdkOTg2MWNiNjY4YWQyNTUxMzQzMDMiLCJ1c2VySWQiOiIzNzk5MTU3ODEifQ==</vt:lpwstr>
  </property>
  <property fmtid="{D5CDD505-2E9C-101B-9397-08002B2CF9AE}" pid="4" name="ICV">
    <vt:lpwstr>2B96F95A01E245D98AEB214516F2653A_13</vt:lpwstr>
  </property>
</Properties>
</file>