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DD108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Style w:val="7"/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 w:bidi="ar"/>
        </w:rPr>
      </w:pPr>
      <w:bookmarkStart w:id="0" w:name="_GoBack"/>
      <w:bookmarkEnd w:id="0"/>
      <w:r>
        <w:rPr>
          <w:rStyle w:val="7"/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 w:bidi="ar"/>
        </w:rPr>
        <w:t>关于遴选便民快递柜投放及运营服务项目</w:t>
      </w:r>
    </w:p>
    <w:p w14:paraId="081360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Style w:val="7"/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 w:bidi="ar"/>
        </w:rPr>
      </w:pPr>
      <w:r>
        <w:rPr>
          <w:rStyle w:val="7"/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 w:bidi="ar"/>
        </w:rPr>
        <w:t>的需求</w:t>
      </w:r>
    </w:p>
    <w:p w14:paraId="2CCB4A5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Style w:val="7"/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 w:bidi="ar"/>
        </w:rPr>
      </w:pPr>
    </w:p>
    <w:p w14:paraId="42E2EB7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Style w:val="7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  <w:t>一、项目名称</w:t>
      </w:r>
    </w:p>
    <w:p w14:paraId="06753FD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赣州蓉江新区人民医院便民快递柜投放及运营服务遴选项目</w:t>
      </w:r>
    </w:p>
    <w:p w14:paraId="122725D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Style w:val="7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  <w:t>二、服务期限及地点：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3年，赣州蓉江新区人民医院院内指定区域</w:t>
      </w:r>
    </w:p>
    <w:p w14:paraId="3BA1175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Style w:val="7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  <w:t>三、资质和参加要求</w:t>
      </w:r>
    </w:p>
    <w:p w14:paraId="2BD72A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）供应商须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具有独立承担民事责任的能力；必须提供企业有效的营业执照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。</w:t>
      </w:r>
    </w:p>
    <w:p w14:paraId="165CDA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具有独立法人资格的制造商或委托授权的代理商均能参加。</w:t>
      </w:r>
    </w:p>
    <w:p w14:paraId="3C3452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（三）具有履行合同所必需的设备和专业技术能力（承诺书）。</w:t>
      </w:r>
    </w:p>
    <w:p w14:paraId="4D26CA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（四）有依法缴纳税收和社会保障资金的良好记录（纳税证明和社保证明）。</w:t>
      </w:r>
    </w:p>
    <w:p w14:paraId="1BAE34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（五）参加采购活动前三年内，在经营活动中没有重大违法记录（书面声明）。</w:t>
      </w:r>
    </w:p>
    <w:p w14:paraId="6FFAA6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  <w:lang w:val="en-US" w:eastAsia="zh-CN" w:bidi="ar"/>
        </w:rPr>
        <w:t>（六）响应文件应包含运营服务方案、免费不超时收费承诺、有关资质证明材料、授权委托书、售后运维方案、相关业绩证明等，响应文件装订成册一式两份。</w:t>
      </w:r>
    </w:p>
    <w:p w14:paraId="10F4BB9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Style w:val="7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  <w:t>四、服务内容：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由中选供应商在院内指定合规区域，自主投放安装2台标准智能快递柜（根据院方实际需求后期可递增），全权负责设备及配套监控设施采购运输、网络布线、安装调试、系统开通、日常巡检、维修保养、故障抢修、系统升级、安全消杀、后台运维、售后保障等全部相关工作，所有投入及运营相关费用均由供应商自行承担。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设备产权及后续残值归供应商所有，医院无需支付任何设备采购及建设费用。</w:t>
      </w:r>
    </w:p>
    <w:p w14:paraId="529C143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Style w:val="7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  <w:t>五、具体要求</w:t>
      </w:r>
    </w:p>
    <w:p w14:paraId="63F2CD5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（一）设备功能要求：设备须具备24小时不间断运行能力，具备“寄取一体”功能，支持人脸识别、扫码、验证码等多种开箱方式。柜体需采用防雨、防锈、防火、防破坏材质，外观设计需与医院整体环境相协调。必须配备高清监控摄像头，实现存取区域无死角监控，录像保存时间不少于30天，以备纠纷溯源。</w:t>
      </w:r>
    </w:p>
    <w:p w14:paraId="4C36398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（二）日常运维与服务标准：供应商需组建专业的运维团队，负责设备的日常巡检、清洁消毒、故障维修、系统升级及耗材更换，确保设备完好率不低于98%。设立7×24小时专属客服热线，接到设备故障或职工求助后，需在30分钟内响应，一般故障2小时内修复，重大故障24小时内解决或提供备用替代方案。</w:t>
      </w:r>
    </w:p>
    <w:p w14:paraId="6B8AA7B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（三）信息安全保障：严格遵守国家数据安全及个人信息保护相关法律法规。系统需对职工及患者的姓名、电话、地址等隐私数据进行脱敏或加密处理，严禁第三方私自收集、泄露或商业化滥用用户数据。</w:t>
      </w:r>
    </w:p>
    <w:p w14:paraId="446067B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（四）广告内容管理：供应商利用快递柜柜体、屏幕等载体发布商业广告，必须遵守《广告法》及医院的相关规定。严禁发布任何与医疗、药品、医疗器械、保健品等相关的商业广告。所有广告内容在上线前，须提交医院指定部门进行备案审核，确保内容健康、合法，与医院公益属性相符。</w:t>
      </w:r>
    </w:p>
    <w:p w14:paraId="06D1767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（五）纠纷处理与责任：供应商是便民快递柜服务的唯一责任主体。医院仅提供场地及基础电力支持，不承担任何因快递柜运营产生的民事、行政或刑事责任。凡因设备故障、系统漏洞、管理不善或第三方人员服务态度等问题引发的快递丢失、损毁、错拿及人身财产损害等纠纷，均由供应商负责全额赔偿及妥善解决。若因供应商原因导致医院被投诉、起诉或遭受名誉损失，供应商需消除影响并赔偿医院因此遭受的全部损失。</w:t>
      </w:r>
    </w:p>
    <w:p w14:paraId="077F566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（六）核心要求：本项目投放的便民快递柜，面向院内全体医护人员、就诊患者及家属实行免费存取服务。全程永久免收超时费、滞留保管费、逾期取件费、弹窗增值费等任何形式的有偿附加费用。供应商不得私自设置任何收费规则、不得变相违规向取件用户收取各类费用，一经发现违规收费行为，我院有权立即终止合同，由此产生的一切纠纷与损失由供应商自行承担。</w:t>
      </w:r>
    </w:p>
    <w:p w14:paraId="593A47E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（七）寄件服务定价：自助寄件服务需对接主流快递公司，寄件价格不得高于周边同类快递网点市场挂牌价，并在设备屏幕及显著位置予以公示。</w:t>
      </w:r>
    </w:p>
    <w:p w14:paraId="28C0F1F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（八）供应商中标后，须严格遵守我院院区环境卫生、治安安保、消防安全、后勤管理等各项规章制度，无条件服从我院统一管理与日常监督。严格按照公告及合同约定履行全部义务，规范开展日常运营服务。</w:t>
      </w:r>
    </w:p>
    <w:p w14:paraId="3B6018F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（九）费用结算：供应商仅需根据实际用电量，按医院电表读数及现行电价标准向医院据实缴纳电费。供应商向医院每半年缴纳一次电费。</w:t>
      </w:r>
    </w:p>
    <w:p w14:paraId="47C43D5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Style w:val="7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  <w:t>六、评审办法及成交原则</w:t>
      </w:r>
    </w:p>
    <w:p w14:paraId="5BCFFB4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yellow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  <w:t>本项目采用综合评分法。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评审小组将严格按照遴选文件规定的评分标准，对供应商的设备投入功能、服务运维方案、相关业绩、服务承诺等进行综合打分，按总得分由高到低的顺序推荐成交候选人。（评分细则详见附件）</w:t>
      </w:r>
    </w:p>
    <w:p w14:paraId="68A7297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8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2"/>
          <w:sz w:val="32"/>
          <w:szCs w:val="32"/>
          <w:lang w:val="en-US" w:eastAsia="zh-CN"/>
        </w:rPr>
      </w:pPr>
    </w:p>
    <w:p w14:paraId="5DC9BBA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8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2"/>
          <w:sz w:val="32"/>
          <w:szCs w:val="32"/>
          <w:lang w:val="en-US" w:eastAsia="zh-CN"/>
        </w:rPr>
      </w:pPr>
    </w:p>
    <w:p w14:paraId="2571905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8" w:firstLineChars="200"/>
        <w:jc w:val="both"/>
        <w:textAlignment w:val="baseline"/>
        <w:rPr>
          <w:rFonts w:hint="default" w:ascii="仿宋_GB2312" w:hAnsi="仿宋_GB2312" w:eastAsia="仿宋_GB2312" w:cs="仿宋_GB2312"/>
          <w:b w:val="0"/>
          <w:bCs w:val="0"/>
          <w:spacing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2"/>
          <w:sz w:val="32"/>
          <w:szCs w:val="32"/>
          <w:lang w:val="en-US" w:eastAsia="zh-CN"/>
        </w:rPr>
        <w:t xml:space="preserve"> 附件：赣州蓉江新区人民医院便民快递柜服务项目综合评分细则</w:t>
      </w:r>
    </w:p>
    <w:p w14:paraId="23688E7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</w:pPr>
    </w:p>
    <w:p w14:paraId="013380C9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92" w:afterAutospacing="0" w:line="408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6"/>
          <w:szCs w:val="36"/>
          <w:shd w:val="clear" w:fill="FFFFFF"/>
        </w:rPr>
      </w:pPr>
    </w:p>
    <w:p w14:paraId="40E778EA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92" w:afterAutospacing="0" w:line="408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6"/>
          <w:szCs w:val="36"/>
          <w:shd w:val="clear" w:fill="FFFFFF"/>
        </w:rPr>
      </w:pPr>
    </w:p>
    <w:p w14:paraId="4E3624E6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92" w:afterAutospacing="0" w:line="408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6"/>
          <w:szCs w:val="36"/>
          <w:shd w:val="clear" w:fill="FFFFFF"/>
        </w:rPr>
      </w:pPr>
    </w:p>
    <w:p w14:paraId="02981949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92" w:afterAutospacing="0" w:line="408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6"/>
          <w:szCs w:val="36"/>
          <w:shd w:val="clear" w:fill="FFFFFF"/>
        </w:rPr>
      </w:pPr>
    </w:p>
    <w:p w14:paraId="6EC6ED44">
      <w:pPr>
        <w:rPr>
          <w:rFonts w:hint="eastAsia"/>
          <w:lang w:val="en-US" w:eastAsia="zh-CN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5C1D893D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92" w:afterAutospacing="0" w:line="408" w:lineRule="atLeast"/>
        <w:ind w:left="0" w:right="0" w:firstLine="0"/>
        <w:rPr>
          <w:rStyle w:val="7"/>
          <w:rFonts w:hint="default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  <w:t>附件</w:t>
      </w:r>
    </w:p>
    <w:p w14:paraId="0B6965CF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7"/>
          <w:rFonts w:hint="default" w:ascii="方正小标宋简体" w:hAnsi="方正小标宋简体" w:eastAsia="方正小标宋简体" w:cs="方正小标宋简体"/>
          <w:b w:val="0"/>
          <w:bCs/>
          <w:kern w:val="0"/>
          <w:sz w:val="32"/>
          <w:szCs w:val="32"/>
          <w:lang w:val="en-US" w:eastAsia="zh-CN" w:bidi="ar"/>
        </w:rPr>
      </w:pPr>
      <w:r>
        <w:rPr>
          <w:rStyle w:val="7"/>
          <w:rFonts w:hint="default" w:ascii="方正小标宋简体" w:hAnsi="方正小标宋简体" w:eastAsia="方正小标宋简体" w:cs="方正小标宋简体"/>
          <w:b w:val="0"/>
          <w:bCs/>
          <w:kern w:val="0"/>
          <w:sz w:val="32"/>
          <w:szCs w:val="32"/>
          <w:lang w:val="en-US" w:eastAsia="zh-CN" w:bidi="ar"/>
        </w:rPr>
        <w:t>赣州蓉江新区人民医院便民快递柜服务项目综合评分细则</w:t>
      </w:r>
    </w:p>
    <w:p w14:paraId="466679DF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7"/>
          <w:rFonts w:hint="eastAsia" w:ascii="方正小标宋简体" w:hAnsi="方正小标宋简体" w:eastAsia="方正小标宋简体" w:cs="方正小标宋简体"/>
          <w:b w:val="0"/>
          <w:bCs/>
          <w:kern w:val="0"/>
          <w:sz w:val="32"/>
          <w:szCs w:val="32"/>
          <w:lang w:val="en-US" w:eastAsia="zh-CN" w:bidi="ar"/>
        </w:rPr>
      </w:pPr>
      <w:r>
        <w:rPr>
          <w:rStyle w:val="7"/>
          <w:rFonts w:hint="default" w:ascii="方正小标宋简体" w:hAnsi="方正小标宋简体" w:eastAsia="方正小标宋简体" w:cs="方正小标宋简体"/>
          <w:b w:val="0"/>
          <w:bCs/>
          <w:kern w:val="0"/>
          <w:sz w:val="32"/>
          <w:szCs w:val="32"/>
          <w:lang w:val="en-US" w:eastAsia="zh-CN" w:bidi="ar"/>
        </w:rPr>
        <w:t>（总分100分）</w:t>
      </w:r>
    </w:p>
    <w:tbl>
      <w:tblPr>
        <w:tblStyle w:val="5"/>
        <w:tblW w:w="109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3"/>
        <w:gridCol w:w="2342"/>
        <w:gridCol w:w="5605"/>
        <w:gridCol w:w="1174"/>
      </w:tblGrid>
      <w:tr w14:paraId="46C0F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2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31A5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val="en-US" w:eastAsia="zh-CN" w:bidi="ar"/>
              </w:rPr>
              <w:t>评分项</w:t>
            </w:r>
          </w:p>
        </w:tc>
        <w:tc>
          <w:tcPr>
            <w:tcW w:w="234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C9B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val="en-US" w:eastAsia="zh-CN" w:bidi="ar"/>
              </w:rPr>
              <w:t>内容</w:t>
            </w:r>
          </w:p>
        </w:tc>
        <w:tc>
          <w:tcPr>
            <w:tcW w:w="560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E31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val="en-US" w:eastAsia="zh-CN" w:bidi="ar"/>
              </w:rPr>
              <w:t>评分标准</w:t>
            </w:r>
          </w:p>
        </w:tc>
        <w:tc>
          <w:tcPr>
            <w:tcW w:w="117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F92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val="en-US" w:eastAsia="zh-CN" w:bidi="ar"/>
              </w:rPr>
              <w:t>得分</w:t>
            </w:r>
          </w:p>
        </w:tc>
      </w:tr>
      <w:tr w14:paraId="773AF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7" w:hRule="atLeast"/>
          <w:jc w:val="center"/>
        </w:trPr>
        <w:tc>
          <w:tcPr>
            <w:tcW w:w="1823" w:type="dxa"/>
            <w:vMerge w:val="restar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1C0D4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设备投入与功能（30分）</w:t>
            </w:r>
          </w:p>
          <w:p w14:paraId="48807DC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234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D0C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设备数量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（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8分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）</w:t>
            </w:r>
          </w:p>
          <w:p w14:paraId="5CC00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</w:p>
        </w:tc>
        <w:tc>
          <w:tcPr>
            <w:tcW w:w="560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9B5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承诺在院内指定区域投放</w:t>
            </w: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2组标准智能快递柜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得8分；少于2组或方案不明确不得分。</w:t>
            </w:r>
          </w:p>
        </w:tc>
        <w:tc>
          <w:tcPr>
            <w:tcW w:w="1174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CADFF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22253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4" w:hRule="atLeast"/>
          <w:jc w:val="center"/>
        </w:trPr>
        <w:tc>
          <w:tcPr>
            <w:tcW w:w="1823" w:type="dxa"/>
            <w:vMerge w:val="continue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D598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</w:pPr>
          </w:p>
        </w:tc>
        <w:tc>
          <w:tcPr>
            <w:tcW w:w="234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143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基本功能（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12分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）</w:t>
            </w:r>
          </w:p>
          <w:p w14:paraId="0E610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</w:p>
        </w:tc>
        <w:tc>
          <w:tcPr>
            <w:tcW w:w="560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417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具备24小时运行、扫码/验证码/人脸识别开箱、寄取一体，全部满足得12分；缺一项扣3分，扣完为止。</w:t>
            </w:r>
          </w:p>
        </w:tc>
        <w:tc>
          <w:tcPr>
            <w:tcW w:w="1174" w:type="dxa"/>
            <w:vMerge w:val="continue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EB08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</w:p>
        </w:tc>
      </w:tr>
      <w:tr w14:paraId="100B7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8" w:hRule="atLeast"/>
          <w:jc w:val="center"/>
        </w:trPr>
        <w:tc>
          <w:tcPr>
            <w:tcW w:w="1823" w:type="dxa"/>
            <w:vMerge w:val="continue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C487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</w:p>
        </w:tc>
        <w:tc>
          <w:tcPr>
            <w:tcW w:w="234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D1B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柜体与监控（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10分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）</w:t>
            </w:r>
          </w:p>
        </w:tc>
        <w:tc>
          <w:tcPr>
            <w:tcW w:w="560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B82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柜体防雨防锈防火防破坏、外观与医院环境协调、监控无死角且录像≥30天，全部满足得10分；缺一项扣3分，扣完为止。</w:t>
            </w:r>
          </w:p>
        </w:tc>
        <w:tc>
          <w:tcPr>
            <w:tcW w:w="1174" w:type="dxa"/>
            <w:vMerge w:val="continue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E1CE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</w:p>
        </w:tc>
      </w:tr>
      <w:tr w14:paraId="0E36A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1" w:hRule="atLeast"/>
          <w:jc w:val="center"/>
        </w:trPr>
        <w:tc>
          <w:tcPr>
            <w:tcW w:w="1823" w:type="dxa"/>
            <w:vMerge w:val="restar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2C9D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供应商业绩与信誉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（20分）</w:t>
            </w:r>
          </w:p>
        </w:tc>
        <w:tc>
          <w:tcPr>
            <w:tcW w:w="234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2B6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类似项目业绩</w:t>
            </w:r>
          </w:p>
          <w:p w14:paraId="3ABE0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（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15分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）</w:t>
            </w:r>
          </w:p>
        </w:tc>
        <w:tc>
          <w:tcPr>
            <w:tcW w:w="560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533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近3年每提供1个医院、学校、机关、社区等智能快递柜投放运营业绩得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5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分，最多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15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分</w:t>
            </w:r>
            <w:r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（须提供合同或中标通知</w:t>
            </w:r>
            <w:r>
              <w:rPr>
                <w:rFonts w:hint="eastAsia" w:ascii="Segoe UI" w:hAnsi="Segoe UI" w:eastAsia="宋体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扫描件或复印件</w:t>
            </w:r>
            <w:r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）。</w:t>
            </w:r>
          </w:p>
        </w:tc>
        <w:tc>
          <w:tcPr>
            <w:tcW w:w="1174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5169F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1FF24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0" w:hRule="atLeast"/>
          <w:jc w:val="center"/>
        </w:trPr>
        <w:tc>
          <w:tcPr>
            <w:tcW w:w="1823" w:type="dxa"/>
            <w:vMerge w:val="continue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1636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</w:pPr>
          </w:p>
        </w:tc>
        <w:tc>
          <w:tcPr>
            <w:tcW w:w="234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D61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宋体" w:cs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履约与信用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（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5分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）</w:t>
            </w:r>
          </w:p>
        </w:tc>
        <w:tc>
          <w:tcPr>
            <w:tcW w:w="560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2FC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宋体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无重大违约、无失信记录、无重大安全事故得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5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分</w:t>
            </w:r>
            <w:r>
              <w:rPr>
                <w:rFonts w:hint="eastAsia"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（</w:t>
            </w:r>
            <w:r>
              <w:rPr>
                <w:rFonts w:hint="eastAsia"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供应商提供</w:t>
            </w:r>
            <w:r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《无重大违约、失信及安全事故声明函》</w:t>
            </w:r>
            <w:r>
              <w:rPr>
                <w:rFonts w:hint="eastAsia"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，</w:t>
            </w:r>
            <w:r>
              <w:rPr>
                <w:rFonts w:hint="eastAsia"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格式自拟，未提供不得分</w:t>
            </w:r>
            <w:r>
              <w:rPr>
                <w:rFonts w:hint="eastAsia"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）</w:t>
            </w:r>
          </w:p>
        </w:tc>
        <w:tc>
          <w:tcPr>
            <w:tcW w:w="1174" w:type="dxa"/>
            <w:vMerge w:val="continue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8681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571DB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50" w:hRule="atLeast"/>
          <w:jc w:val="center"/>
        </w:trPr>
        <w:tc>
          <w:tcPr>
            <w:tcW w:w="1823" w:type="dxa"/>
            <w:vMerge w:val="restar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BF2673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宋体" w:cs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3.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服务运维方案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（35分）</w:t>
            </w:r>
          </w:p>
        </w:tc>
        <w:tc>
          <w:tcPr>
            <w:tcW w:w="234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3C7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日常运维（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15分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）</w:t>
            </w:r>
          </w:p>
        </w:tc>
        <w:tc>
          <w:tcPr>
            <w:tcW w:w="560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F09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巡检频次明确（每周≥1次）、故障响应时限明确（如2小时响应、24小时修复）；有清洁消杀标准和安全管理制度。方案具体可行得12-15分；基本合理得6-11分；缺失或笼统得0-5分。</w:t>
            </w:r>
          </w:p>
        </w:tc>
        <w:tc>
          <w:tcPr>
            <w:tcW w:w="1174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60C14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4C517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  <w:jc w:val="center"/>
        </w:trPr>
        <w:tc>
          <w:tcPr>
            <w:tcW w:w="1823" w:type="dxa"/>
            <w:vMerge w:val="continue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6088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</w:pPr>
          </w:p>
        </w:tc>
        <w:tc>
          <w:tcPr>
            <w:tcW w:w="234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CAB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客服与应急（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12分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）</w:t>
            </w:r>
          </w:p>
        </w:tc>
        <w:tc>
          <w:tcPr>
            <w:tcW w:w="560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14D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有24小时客服、投诉处理流程和时限；有断电、断网、设备故障、旺季爆柜等应急预案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（含设备大面积故障、断网断电、极端天气、治安事件等）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。方案具体可行得10-12分；基本合理得5-9分；缺失或笼统得0-4分。</w:t>
            </w:r>
          </w:p>
        </w:tc>
        <w:tc>
          <w:tcPr>
            <w:tcW w:w="1174" w:type="dxa"/>
            <w:vMerge w:val="continue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3742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73F8B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0" w:hRule="atLeast"/>
          <w:jc w:val="center"/>
        </w:trPr>
        <w:tc>
          <w:tcPr>
            <w:tcW w:w="1823" w:type="dxa"/>
            <w:vMerge w:val="continue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8559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34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718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后台与数据（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8分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）</w:t>
            </w:r>
          </w:p>
        </w:tc>
        <w:tc>
          <w:tcPr>
            <w:tcW w:w="560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086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承诺免费系统升级、后台数据管理、用户隐私保护，内容具体可行得6-8分；基本合理得3-5分缺失或笼统得0分。</w:t>
            </w:r>
          </w:p>
        </w:tc>
        <w:tc>
          <w:tcPr>
            <w:tcW w:w="1174" w:type="dxa"/>
            <w:vMerge w:val="continue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F5E9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1BB01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2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A568B5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宋体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4.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服务承诺与配合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（15分）</w:t>
            </w:r>
          </w:p>
        </w:tc>
        <w:tc>
          <w:tcPr>
            <w:tcW w:w="234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90A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服务承诺与配合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（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15分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）</w:t>
            </w:r>
          </w:p>
        </w:tc>
        <w:tc>
          <w:tcPr>
            <w:tcW w:w="560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0C5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宋体" w:cs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同时满足以下三项得15分，缺一项扣5分：①承诺3年服务期内不向医院收取任何费用；②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明确承诺本项目所有快递存取服务面向院内职工及患者永久免费，不收取超时费、滞留保管费、逾期取件费、弹窗增值费等任何形式附加费用。承诺内容完整、表述清晰、格式规范，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；③承诺服从院方场地调整、宣传管理、应急征用等。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（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供应商提供承诺书，格式自拟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）</w:t>
            </w:r>
          </w:p>
        </w:tc>
        <w:tc>
          <w:tcPr>
            <w:tcW w:w="1174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64339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408E4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6" w:hRule="atLeast"/>
          <w:jc w:val="center"/>
        </w:trPr>
        <w:tc>
          <w:tcPr>
            <w:tcW w:w="182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1F22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 xml:space="preserve"> 总分</w:t>
            </w:r>
          </w:p>
        </w:tc>
        <w:tc>
          <w:tcPr>
            <w:tcW w:w="234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374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100分</w:t>
            </w:r>
          </w:p>
        </w:tc>
        <w:tc>
          <w:tcPr>
            <w:tcW w:w="560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7F68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74" w:type="dxa"/>
            <w:shd w:val="clear" w:color="auto" w:fill="auto"/>
            <w:vAlign w:val="center"/>
          </w:tcPr>
          <w:p w14:paraId="684D7A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</w:tbl>
    <w:p w14:paraId="5EF01FE2"/>
    <w:p w14:paraId="2DE11937"/>
    <w:p w14:paraId="5AF12F6A"/>
    <w:p w14:paraId="78FE70E6"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设备拟摆放位置图片</w:t>
      </w:r>
    </w:p>
    <w:p w14:paraId="1F3AB8D2"/>
    <w:p w14:paraId="61F42BB7">
      <w:r>
        <w:drawing>
          <wp:inline distT="0" distB="0" distL="114300" distR="114300">
            <wp:extent cx="5608320" cy="3025140"/>
            <wp:effectExtent l="0" t="0" r="508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0832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ACB988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BE1559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BE1559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8FD8E"/>
    <w:multiLevelType w:val="singleLevel"/>
    <w:tmpl w:val="3EB8FD8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A75A69"/>
    <w:rsid w:val="04143D08"/>
    <w:rsid w:val="04436E0D"/>
    <w:rsid w:val="1DA4379F"/>
    <w:rsid w:val="518B7BEB"/>
    <w:rsid w:val="7FA75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2173</Words>
  <Characters>2206</Characters>
  <Lines>0</Lines>
  <Paragraphs>0</Paragraphs>
  <TotalTime>1</TotalTime>
  <ScaleCrop>false</ScaleCrop>
  <LinksUpToDate>false</LinksUpToDate>
  <CharactersWithSpaces>2207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2026-09-14T08:38:00Z</dcterms:created>
  <dc:creator>钟业程</dc:creator>
  <cp:lastModifiedBy>钟业程</cp:lastModifiedBy>
  <dcterms:modified xsi:type="dcterms:W3CDTF">2026-09-16T07:07:13Z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9444D3EAD2844E9E99CD2F18DC663C1D_13</vt:lpwstr>
  </property>
  <property fmtid="{D5CDD505-2E9C-101B-9397-08002B2CF9AE}" pid="4" name="KSOTemplateDocerSaveRecord">
    <vt:lpwstr>eyJoZGlkIjoiODNlNmQ4MWYzNDdkOTg2MWNiNjY4YWQyNTUxMzQzMDMiLCJ1c2VySWQiOiIzNzk5MTU3ODEifQ==</vt:lpwstr>
  </property>
</Properties>
</file>